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0CE" w:rsidRDefault="00B930CE" w:rsidP="003C17A6">
      <w:pPr>
        <w:pStyle w:val="1"/>
        <w:spacing w:before="0" w:beforeAutospacing="0" w:after="0" w:afterAutospacing="0"/>
        <w:rPr>
          <w:sz w:val="20"/>
          <w:szCs w:val="20"/>
          <w:lang w:val="en-US"/>
        </w:rPr>
      </w:pPr>
    </w:p>
    <w:p w:rsidR="00B930CE" w:rsidRPr="008A5FA8" w:rsidRDefault="00B930CE" w:rsidP="003C17A6">
      <w:pPr>
        <w:pStyle w:val="1"/>
        <w:spacing w:before="0" w:beforeAutospacing="0" w:after="0" w:afterAutospacing="0"/>
        <w:rPr>
          <w:sz w:val="20"/>
          <w:szCs w:val="20"/>
        </w:rPr>
      </w:pPr>
      <w:r w:rsidRPr="008A5FA8">
        <w:rPr>
          <w:sz w:val="20"/>
          <w:szCs w:val="20"/>
        </w:rPr>
        <w:t xml:space="preserve">При попередньому програмуванні РРО найменування підакцизного товару зазначається з кодом товарної підкатегорії згідно з УКТ ЗЕД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Головне управління ДПС у Дніпропетровській області звертає увагу, що пунктом 2 розділу 2 Положення про форму і зміст розрахункових документів/електронних розрахункових документів, затвердженого наказом Міністерства фінансів України від 21.01.2016 № 13 (зареєстровано у Міністерстві юстиції України 11.02.2016 за № 220/28350) (далі – Положення № 13) визначено обов’язкові реквізити фіскального касового чека на товари (послуги), зокрема, фіскальний касовий чек на товари (послуги) має містити код товарної підкатегорії згідно з УКТ ЗЕД (зазначається у випадках, передбачених чинним законодавством).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Тобто у розрахункових документах, які створюється реєстратором розрахункових операцій (далі – РРО) при проведенні розрахункових операцій з продажу підакцизних товарів, має відображатися такий обов’язковий реквізит як «код УКТ ЗЕД».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Вимоги щодо створення контрольної стрічки в електронній формі у РРО, ПРРО та модемів для передачі даних та Порядок передачі електронних копій розрахункових документів і фіскальних звітних чеків РРО, ПРРО дротовими або бездротовими каналами зв’язку до органів Державної податкової служби України затверджено наказом Міністерства фінансів України від 17.10.2020 за № 1744/22056 (далі – Вимоги № 1057 та Порядок № 1057 відповідно).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Згідно з п. п. 1.2 п. 1 Порядку № 1057 система зберігання і збору даних РРО (далі – СЗЗД РРО) – загальнодержавна система, призначена для збору даних РРО та передачі цих даних до системи обліку даних РРО в ДПС за технологією зберігання і збору даних РРО для Державної податкової служби України.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Відповідно до п. п. 1.2 п. 1 Вимог № 1057 технологія зберігання і збору даних РРО для ДПС – розроблена Національним банком технологія, погоджена ДПС. Технологія призначена для використання у СЗЗД РРО для ДПС.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У свою чергу, відповідно до п. 9.1 Порядку № 1057 передача даних РРО до серверу обробки інформації виконується згідно з регламентом, заданим у конфігурації РРО у форматі XML-документів, визначеному у протоколі передачі інформації.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З урахуванням зазначеного та те, що код УКТ ЗЕД є обов’язковим реквізитом для підакцизних товарів та відповідно до Положення № 13 фактично є частиною назви товару, ДПС повідомляє, що відповідно технології зберігання та збору даних РРО код УКТ ЗЕД рекомендовано розміщувати в структурі тегів &lt;РР&gt; з атрибутом.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Відповідальність за використання суб’єктами господарювання реєстраторів розрахункових операцій та/або програмних реєстраторів розрахункових операцій без використання режиму попереднього програмування найменування кожного підакцизного товару із зазначенням коду товарної підкатегорії згідно з УКТ ЗЕД передбачена ст. 17 Закону України від 06 липня 1996 року № 265/95-ВР «Про застосування реєстраторів розрахункових операцій у сфері торгівлі, громадського харчування та послуг».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Додатково повідомляємо, що зазначення обов’язкових реквізитів розрахункових документів в структурі тегів необов’язкових реквізитів є порушенням вимог нормативних документів та може призвести до втрати інформації, що передається суб’єктом господарювання до серверу контролюючого органу та стати причиною проведення контрольно-перевірочних заходів. </w:t>
      </w:r>
    </w:p>
    <w:p w:rsidR="00B930CE" w:rsidRPr="008A5FA8" w:rsidRDefault="00B930CE" w:rsidP="003C17A6">
      <w:pPr>
        <w:pStyle w:val="a4"/>
        <w:spacing w:before="0" w:beforeAutospacing="0" w:after="0" w:afterAutospacing="0"/>
        <w:jc w:val="both"/>
        <w:rPr>
          <w:sz w:val="20"/>
          <w:szCs w:val="20"/>
        </w:rPr>
      </w:pPr>
      <w:r w:rsidRPr="008A5FA8">
        <w:rPr>
          <w:sz w:val="20"/>
          <w:szCs w:val="20"/>
        </w:rPr>
        <w:t xml:space="preserve">Отже, суб’єктам господарювання необхідно здійснювати проведення розрахункових операції через РРО та/або через ПРРО для підакцизних товарів із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w:t>
      </w:r>
    </w:p>
    <w:p w:rsidR="00B930CE" w:rsidRPr="00292B0E" w:rsidRDefault="00B930CE" w:rsidP="003C17A6">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B930CE" w:rsidRPr="008A5FA8" w:rsidRDefault="006B0DA8" w:rsidP="003C17A6">
      <w:pPr>
        <w:pStyle w:val="a4"/>
        <w:spacing w:before="0" w:beforeAutospacing="0" w:after="0" w:afterAutospacing="0"/>
        <w:jc w:val="both"/>
        <w:rPr>
          <w:sz w:val="20"/>
          <w:szCs w:val="20"/>
        </w:rPr>
      </w:pPr>
      <w:hyperlink r:id="rId4" w:history="1">
        <w:r w:rsidR="00B930CE" w:rsidRPr="008A5FA8">
          <w:rPr>
            <w:rStyle w:val="a3"/>
            <w:sz w:val="20"/>
            <w:szCs w:val="20"/>
          </w:rPr>
          <w:t>https://dp.tax.gov.ua/</w:t>
        </w:r>
      </w:hyperlink>
      <w:r w:rsidR="00B930CE" w:rsidRPr="008A5FA8">
        <w:rPr>
          <w:sz w:val="20"/>
          <w:szCs w:val="20"/>
        </w:rPr>
        <w:t xml:space="preserve">; </w:t>
      </w:r>
    </w:p>
    <w:p w:rsidR="00B930CE" w:rsidRPr="008A5FA8" w:rsidRDefault="006B0DA8" w:rsidP="003C17A6">
      <w:pPr>
        <w:pStyle w:val="a4"/>
        <w:spacing w:before="0" w:beforeAutospacing="0" w:after="0" w:afterAutospacing="0"/>
        <w:jc w:val="both"/>
        <w:rPr>
          <w:sz w:val="20"/>
          <w:szCs w:val="20"/>
        </w:rPr>
      </w:pPr>
      <w:hyperlink r:id="rId5" w:history="1">
        <w:r w:rsidR="00B930CE" w:rsidRPr="008A5FA8">
          <w:rPr>
            <w:rStyle w:val="a3"/>
            <w:sz w:val="20"/>
            <w:szCs w:val="20"/>
          </w:rPr>
          <w:t>https://www.facebook.com/tax.dnipropetrovsk/</w:t>
        </w:r>
      </w:hyperlink>
      <w:r w:rsidR="00B930CE" w:rsidRPr="008A5FA8">
        <w:rPr>
          <w:sz w:val="20"/>
          <w:szCs w:val="20"/>
        </w:rPr>
        <w:t xml:space="preserve">; </w:t>
      </w:r>
    </w:p>
    <w:p w:rsidR="00B930CE" w:rsidRPr="00CD18BC" w:rsidRDefault="006B0DA8" w:rsidP="003C17A6">
      <w:pPr>
        <w:pStyle w:val="a4"/>
        <w:spacing w:before="0" w:beforeAutospacing="0" w:after="0" w:afterAutospacing="0"/>
        <w:jc w:val="both"/>
        <w:rPr>
          <w:sz w:val="20"/>
          <w:szCs w:val="20"/>
        </w:rPr>
      </w:pPr>
      <w:hyperlink r:id="rId6" w:history="1">
        <w:r w:rsidR="00B930CE" w:rsidRPr="008A5FA8">
          <w:rPr>
            <w:rStyle w:val="a3"/>
            <w:sz w:val="20"/>
            <w:szCs w:val="20"/>
          </w:rPr>
          <w:t>https://www.youtube.com/channel/UCIxijADr1NbFo5dhZ3mQwVA</w:t>
        </w:r>
      </w:hyperlink>
      <w:r w:rsidR="00B930CE" w:rsidRPr="008A5FA8">
        <w:rPr>
          <w:sz w:val="20"/>
          <w:szCs w:val="20"/>
        </w:rPr>
        <w:t xml:space="preserve"> </w:t>
      </w:r>
    </w:p>
    <w:p w:rsidR="00B930CE" w:rsidRPr="00E6326C" w:rsidRDefault="00B930CE" w:rsidP="003C17A6">
      <w:pPr>
        <w:pStyle w:val="a4"/>
        <w:spacing w:before="0" w:beforeAutospacing="0" w:after="0" w:afterAutospacing="0"/>
        <w:jc w:val="both"/>
        <w:rPr>
          <w:sz w:val="20"/>
          <w:szCs w:val="20"/>
        </w:rPr>
      </w:pPr>
    </w:p>
    <w:p w:rsidR="00B930CE" w:rsidRPr="0055049A" w:rsidRDefault="00B930CE" w:rsidP="00CD18BC">
      <w:pPr>
        <w:pStyle w:val="1"/>
        <w:spacing w:before="0" w:beforeAutospacing="0" w:after="0" w:afterAutospacing="0"/>
        <w:rPr>
          <w:sz w:val="20"/>
          <w:szCs w:val="20"/>
        </w:rPr>
      </w:pPr>
      <w:r w:rsidRPr="0055049A">
        <w:rPr>
          <w:sz w:val="20"/>
          <w:szCs w:val="20"/>
        </w:rPr>
        <w:t>Одноразове добровільне декларування: відомості, зазначені декларантом у одноразовій добровільній декларації є конфіденційною інформацією</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доводить до відома, що відомості, що містяться у відповідних одноразових (спеціальних) добровільних деклараціях та доданих до них документах, подані згідно з підрозділу 9 прим. 4 розділу XX «Перехідні положення» Податкового кодексу України (далі – ПКУ), є конфіденційною інформацією та не підлягають розголошенню контролюючим органом, його посадовими особами без письмової згоди декларанта, крім випадків, коли це прямо передбачено законами або рішенням суду.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За розголошення такої інформації, у тому числі внаслідок службової недбалості або допуску до інформації інших осіб, які не мають такого права, а також незаконне використання таких відомостей посадові особи контролюючого органу, притягаються до цивільної, адміністративної, кримінальної та іншої відповідальності згідно із законом.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Норми встановлені п. 17 підрозділу 9 прим. 4 розділу XX ПКУ.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7"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8"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9"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E6326C" w:rsidRDefault="00B930CE" w:rsidP="003C17A6">
      <w:pPr>
        <w:pStyle w:val="a4"/>
        <w:spacing w:before="0" w:beforeAutospacing="0" w:after="0" w:afterAutospacing="0"/>
        <w:jc w:val="both"/>
        <w:rPr>
          <w:sz w:val="20"/>
          <w:szCs w:val="20"/>
        </w:rPr>
      </w:pPr>
    </w:p>
    <w:p w:rsidR="00B930CE" w:rsidRPr="00EA6A9D" w:rsidRDefault="00B930CE" w:rsidP="00097F7D">
      <w:pPr>
        <w:pStyle w:val="1"/>
        <w:spacing w:before="0" w:beforeAutospacing="0" w:after="0" w:afterAutospacing="0"/>
        <w:rPr>
          <w:sz w:val="20"/>
          <w:szCs w:val="20"/>
        </w:rPr>
      </w:pPr>
      <w:r w:rsidRPr="00EA6A9D">
        <w:rPr>
          <w:sz w:val="20"/>
          <w:szCs w:val="20"/>
        </w:rPr>
        <w:t>Розпочалася кампанія одноразового (спеціального) добровільного декларування</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нагадує, що з 01 вересня 2021 року, стартувало одноразове (спеціальне) добровільне декларування, яке триватиме до 01 вересня 2022 року.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Громадяни України, які мають активи, що не були оподатковані належним чином, можуть добровільно їх задекларувати, сплатити одноразовий збір з одноразового (спеціального) добровільного декларування та легалізувати ці активи.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Така можливість надана нормами Закону України від 15 червня 2021 року № 1539-IX «Про внесення змін до Податкового кодексу України та інших законів України щодо стимулювання детінізації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(далі – Закон № 1539).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Отже, одноразове (спеціальне) добровільне декларування – це особливий порядок добровільного декларування фізичною особою належних їй активів, розміщених на території України та/або за її межами, якщо такі активи фізичної особи були одержані (набуті) нею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(п. 6 підрозділу 9 прим. 4 розділу ХХ Податкового кодексу України (далі –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Збір з одноразового (спеціального) добровільного декларування – це одноразовий обов’язковий платіж, розмір якого самостійно розраховується декларантом з вартості належних йому активів з урахуванням ставок такого збору, визначених підрозділом 9 прим. 4 розділу ХХ ПКУ та відображається ним в одноразовій (спеціальній) добровільній декларації (далі – Декларація) (п. 2 підрозділу 9 прим. 4 розділу ХХ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Таким чином,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1) одноразове (спеціальне) добровільне декларування – це процедура, яка вимагає дій платника податків щодо подачі Декларації;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2) така процедура є добровільною для платника податків;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3) декларуванню підлягають саме активи, які належать фізичній особі на праві власності, які розміщені на території України та/або за її межами, але не всі з них, а лише: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w:t>
      </w:r>
      <w:r w:rsidRPr="00EA6A9D">
        <w:rPr>
          <w:rStyle w:val="a5"/>
          <w:sz w:val="20"/>
          <w:szCs w:val="20"/>
        </w:rPr>
        <w:t>активи</w:t>
      </w:r>
      <w:r w:rsidRPr="00EA6A9D">
        <w:rPr>
          <w:sz w:val="20"/>
          <w:szCs w:val="20"/>
        </w:rPr>
        <w:t xml:space="preserve">, одержані (набуті) фізичною особою </w:t>
      </w:r>
      <w:r w:rsidRPr="00EA6A9D">
        <w:rPr>
          <w:rStyle w:val="a5"/>
          <w:sz w:val="20"/>
          <w:szCs w:val="20"/>
        </w:rPr>
        <w:t>протягом будь-якого з податкових періодів, що мали місце до 01 січня 2021 року за рахунок доходів</w:t>
      </w:r>
      <w:r w:rsidRPr="00EA6A9D">
        <w:rPr>
          <w:sz w:val="20"/>
          <w:szCs w:val="20"/>
        </w:rPr>
        <w:t xml:space="preserve">, що підлягали в момент їх нарахування (отримання) оподаткуванню в Україні та з яких </w:t>
      </w:r>
      <w:r w:rsidRPr="00EA6A9D">
        <w:rPr>
          <w:rStyle w:val="a5"/>
          <w:sz w:val="20"/>
          <w:szCs w:val="20"/>
        </w:rPr>
        <w:t>не були сплачені або сплачені не в повному обсязі податки і збори</w:t>
      </w:r>
      <w:r w:rsidRPr="00EA6A9D">
        <w:rPr>
          <w:sz w:val="20"/>
          <w:szCs w:val="20"/>
        </w:rPr>
        <w:t xml:space="preserve"> відповідно до вимог законодавства з питань оподаткування та/або міжнародних договорів, згода на обов’язковість яких надана Верховною Радою України,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та/або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w:t>
      </w:r>
      <w:r w:rsidRPr="00EA6A9D">
        <w:rPr>
          <w:rStyle w:val="a5"/>
          <w:sz w:val="20"/>
          <w:szCs w:val="20"/>
        </w:rPr>
        <w:t>активи,</w:t>
      </w:r>
      <w:r w:rsidRPr="00EA6A9D">
        <w:rPr>
          <w:sz w:val="20"/>
          <w:szCs w:val="20"/>
        </w:rPr>
        <w:t xml:space="preserve"> які фізична особа не задекларувала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w:t>
      </w:r>
      <w:r w:rsidRPr="00EA6A9D">
        <w:rPr>
          <w:rStyle w:val="a5"/>
          <w:sz w:val="20"/>
          <w:szCs w:val="20"/>
        </w:rPr>
        <w:t>що мали місце до</w:t>
      </w:r>
      <w:r w:rsidRPr="00EA6A9D">
        <w:rPr>
          <w:sz w:val="20"/>
          <w:szCs w:val="20"/>
        </w:rPr>
        <w:t xml:space="preserve"> </w:t>
      </w:r>
      <w:r w:rsidRPr="00EA6A9D">
        <w:rPr>
          <w:rStyle w:val="a5"/>
          <w:sz w:val="20"/>
          <w:szCs w:val="20"/>
        </w:rPr>
        <w:t>01 січня 2021 року</w:t>
      </w:r>
      <w:r w:rsidRPr="00EA6A9D">
        <w:rPr>
          <w:sz w:val="20"/>
          <w:szCs w:val="20"/>
        </w:rPr>
        <w:t xml:space="preserve">.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4) під податками та зборами, які підлягали сплаті в Україні в момент нарахування (отримання) доходів, слід розуміти податок на доходи фізичних осіб та військовий збір;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5) зазначена норма не визначає часових рамок набуття активів за рахунок доходів, з яких не були сплачені або сплачені не в повному обсязі податки і збори. Тобто передбачається, що порушення податкового законодавства могло статися і у періодах, по яких вже сплив загальний термін позовної давності у 1095 днів з дня подання податкової звітності, визначений п. 44.3 ст. 44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6) об’єктом оподаткування збором з одноразового (спеціального) добровільного декларування є вартість зазначених активів, визначена у порядку, передбаченому підрозділом 9 прим. 4 розділу ХХ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7) декларант самостійно визначає суму збору з одноразового (спеціального) добровільного декларування у Декларації, за ставками, визначеними підрозділом 9 прим. 4 розділу ХХ ПКУ. Після подання Декларації сума збору стає узгодженим податковим зобов’язанням, обов’язковим до сплати.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Декларація подається до Державної податкової служби України безпосередньо декларантом через Електронний кабінет.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Форма Декларації та порядок її заповнення затверджені наказом Міністерства фінансів України від 02.08.2021 № 439 (зареєстровано у Міністерстві юстиції України 19.08.2021 за № 1090/36712).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Приклади заповнення Декларації наведені на головній сторінці веб-порталу ДПС України за посиланням </w:t>
      </w:r>
    </w:p>
    <w:p w:rsidR="00B930CE" w:rsidRPr="00EA6A9D" w:rsidRDefault="006B0DA8" w:rsidP="00097F7D">
      <w:pPr>
        <w:pStyle w:val="a4"/>
        <w:spacing w:before="0" w:beforeAutospacing="0" w:after="0" w:afterAutospacing="0"/>
        <w:jc w:val="both"/>
        <w:rPr>
          <w:sz w:val="20"/>
          <w:szCs w:val="20"/>
        </w:rPr>
      </w:pPr>
      <w:hyperlink r:id="rId10" w:history="1">
        <w:r w:rsidR="00B930CE" w:rsidRPr="00EA6A9D">
          <w:rPr>
            <w:rStyle w:val="a3"/>
            <w:sz w:val="20"/>
            <w:szCs w:val="20"/>
          </w:rPr>
          <w:t>https://tax.gov.ua/baneryi/odnorazove-dobrovilne-deklaruvannya/deklaratsiya/zrazok-zapovnennya/</w:t>
        </w:r>
      </w:hyperlink>
      <w:r w:rsidR="00B930CE" w:rsidRPr="00EA6A9D">
        <w:rPr>
          <w:sz w:val="20"/>
          <w:szCs w:val="20"/>
        </w:rPr>
        <w:t xml:space="preserve">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З покроковою інструкцією подання одноразової (спеціальної) добровільної декларації можна ознайомитись за посиланням </w:t>
      </w:r>
    </w:p>
    <w:p w:rsidR="00B930CE" w:rsidRPr="00EA6A9D" w:rsidRDefault="006B0DA8" w:rsidP="00097F7D">
      <w:pPr>
        <w:pStyle w:val="a4"/>
        <w:spacing w:before="0" w:beforeAutospacing="0" w:after="0" w:afterAutospacing="0"/>
        <w:jc w:val="both"/>
        <w:rPr>
          <w:sz w:val="20"/>
          <w:szCs w:val="20"/>
        </w:rPr>
      </w:pPr>
      <w:hyperlink r:id="rId11" w:history="1">
        <w:r w:rsidR="00B930CE" w:rsidRPr="00EA6A9D">
          <w:rPr>
            <w:rStyle w:val="a3"/>
            <w:sz w:val="20"/>
            <w:szCs w:val="20"/>
          </w:rPr>
          <w:t>https://tax.gov.ua/baneryi/odnorazove-dobrovilne-deklaruvannya/deklaratsiya/pokrokova-instruktsiya/</w:t>
        </w:r>
      </w:hyperlink>
      <w:r w:rsidR="00B930CE" w:rsidRPr="00EA6A9D">
        <w:rPr>
          <w:sz w:val="20"/>
          <w:szCs w:val="20"/>
        </w:rPr>
        <w:t xml:space="preserve"> </w:t>
      </w:r>
    </w:p>
    <w:p w:rsidR="00B930CE" w:rsidRPr="00097F7D" w:rsidRDefault="00B930CE" w:rsidP="003C17A6">
      <w:pPr>
        <w:pStyle w:val="a4"/>
        <w:spacing w:before="0" w:beforeAutospacing="0" w:after="0" w:afterAutospacing="0"/>
        <w:jc w:val="both"/>
        <w:rPr>
          <w:sz w:val="20"/>
          <w:szCs w:val="20"/>
        </w:rPr>
      </w:pPr>
    </w:p>
    <w:p w:rsidR="00B930CE" w:rsidRPr="008A5FA8" w:rsidRDefault="006B0DA8" w:rsidP="003C17A6">
      <w:pPr>
        <w:rPr>
          <w:sz w:val="20"/>
          <w:szCs w:val="20"/>
        </w:rPr>
      </w:pPr>
      <w:hyperlink r:id="rId12" w:history="1">
        <w:r w:rsidR="00B930CE" w:rsidRPr="00E6326C">
          <w:rPr>
            <w:rStyle w:val="a3"/>
          </w:rPr>
          <w:t>https://dp.tax.gov.ua/media-ark/news-ark/500917.html</w:t>
        </w:r>
      </w:hyperlink>
    </w:p>
    <w:p w:rsidR="00B930CE" w:rsidRPr="0055049A" w:rsidRDefault="00B930CE" w:rsidP="003C17A6">
      <w:pPr>
        <w:pStyle w:val="1"/>
        <w:spacing w:before="0" w:beforeAutospacing="0" w:after="0" w:afterAutospacing="0"/>
        <w:rPr>
          <w:sz w:val="20"/>
          <w:szCs w:val="20"/>
        </w:rPr>
      </w:pPr>
      <w:r w:rsidRPr="0055049A">
        <w:rPr>
          <w:sz w:val="20"/>
          <w:szCs w:val="20"/>
        </w:rPr>
        <w:t>Як розраховуються проценти по розстроченому (відстроченому) грошовому зобов’язанню (податковому боргу)?</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інформує, що розстроченням, відстроченням грошових зобов’язань або податкового боргу є перенесення строків сплати платником податків його грошових зобов’язань або податкового боргу під проценти, розмір яких дорівнює розміру 120 відс. річних облікової ставки Національного банку України, діючої на день прийняття контролюючим органом рішення про розстрочення, відстрочення грошових зобов’язань або податкового боргу. Якщо до складу розстроченої (відстроченої) суми входить пеня, то для розрахунку процентів береться сума за вирахуванням суми пені.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Норми передбачені п. 100.1 ст. 100 Податкового кодексу України.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Відповідно до п. 4.2 розділу IV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нарахування процентів розпочинається наступного дня після початку дії розстрочення (відстрочення) грошових зобов’язань (податкового боргу) та наступного дня після граничного строку сплати чергової частки розстроченого (відстроченого) грошового зобов’язання (податкового боргу).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Нарахування процентів здійснюється у день фактичного погашення розстроченого (відстроченого) грошового зобов’язання (податкового боргу) (його частини) за весь період користування розстроченням (відстроченням).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Платник податків розраховує суму процентів на розстрочене (відстрочене) грошове зобов’язання (податковий борг) (його частку) самостійно та сплачує її одночасно зі сплатою розстроченої (відстроченої) або чергової частини розстроченої (відстроченої) суми у строки, визначені у відповідному договорі.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Одноденний розмір процентів при розрахунку округлюється до другого знака після коми в загальному порядку арифметичного округлення.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Надміру сплачені суми процентів можуть зараховуватись у рахунок сплати грошового зобов’язання (податкового боргу) в порядку, встановленому законодавством України.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Отже, проценти нараховуються: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у день фактичного погашення розстрочки (відстрочки);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за весь період фактичного користування розстрочкою (відстрочкою);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на розстрочену (відстрочену) суму, що була діючою на момент кожного такого нарахування;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із розрахунку 120 відс. річних облікової ставки Національного банку України, діючої на день прийняття органом ДПС рішення про розстрочення (відстрочення).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3"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4"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5"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Default="00B930CE" w:rsidP="003C17A6">
      <w:pPr>
        <w:rPr>
          <w:lang w:val="uk-UA"/>
        </w:rPr>
      </w:pPr>
    </w:p>
    <w:p w:rsidR="00B930CE" w:rsidRPr="0055049A" w:rsidRDefault="00B930CE" w:rsidP="003C17A6">
      <w:pPr>
        <w:pStyle w:val="1"/>
        <w:spacing w:before="0" w:beforeAutospacing="0" w:after="0" w:afterAutospacing="0"/>
        <w:rPr>
          <w:sz w:val="20"/>
          <w:szCs w:val="20"/>
        </w:rPr>
      </w:pPr>
      <w:r w:rsidRPr="0055049A">
        <w:rPr>
          <w:sz w:val="20"/>
          <w:szCs w:val="20"/>
        </w:rPr>
        <w:t>Сума кредиту отримана ФОП – «загальносистемником» на розрахунковий рахунок: чи є дохід?</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фінансовий кредит – це кошти, що надаються банком – резидентом або нерезидентом, що кваліфікується як банківська установа згідно із законодавством країни перебування нерезидента, або резидентами і нерезидентами, які мають згідно з відповідним законодавством статус небанківських фінансових установ, а також іноземною державою або його офіційними агентствами, міжнародними фінансовими організаціями та іншими кредиторами – нерезидентами юридичній чи фізичній особі на визначений строк для цільового використання та під процент.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Норми визначені п. п. 14.1.258 п. 14.1 ст. 14 Податкового кодексу України (далі – ПКУ).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Оподаткуванню підлягають доходи фізичних осіб – підприємців (далі – ФОП), які отримані протягом календарного року від провадження господарської діяльності (п. 177.1 ст. 177 розділу IV ПКУ).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Враховуючи те, що отримання ФОП кредиту відповідно до умов договору підлягає обов’язковому поверненню у визначені строки, то протягом дії договору кредиту сума кредиту не включається до складу доходу суб’єкта господарювання.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При цьому слід зазначити, якщо сума кредиту не повертається у визначений у договорі термін, то вона включається до складу доходів ФОП та оподатковується на загальних підставах.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6"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7"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18"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Default="00B930CE">
      <w:pPr>
        <w:rPr>
          <w:lang w:val="uk-UA"/>
        </w:rPr>
      </w:pPr>
    </w:p>
    <w:p w:rsidR="00B930CE" w:rsidRPr="0055049A" w:rsidRDefault="00B930CE" w:rsidP="003C17A6">
      <w:pPr>
        <w:pStyle w:val="1"/>
        <w:spacing w:before="0" w:beforeAutospacing="0" w:after="0" w:afterAutospacing="0"/>
        <w:rPr>
          <w:sz w:val="20"/>
          <w:szCs w:val="20"/>
        </w:rPr>
      </w:pPr>
      <w:r w:rsidRPr="0055049A">
        <w:rPr>
          <w:sz w:val="20"/>
          <w:szCs w:val="20"/>
        </w:rPr>
        <w:t>Увага! Шахраї!</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інформує, що ДПС України на офіційному вебпорталі за посиланням </w:t>
      </w:r>
      <w:hyperlink r:id="rId19" w:history="1">
        <w:r w:rsidRPr="0055049A">
          <w:rPr>
            <w:rStyle w:val="a3"/>
            <w:sz w:val="20"/>
            <w:szCs w:val="20"/>
          </w:rPr>
          <w:t>https://tax.gov.ua/media-tsentr/novini/501294.html</w:t>
        </w:r>
      </w:hyperlink>
      <w:r w:rsidRPr="0055049A">
        <w:rPr>
          <w:sz w:val="20"/>
          <w:szCs w:val="20"/>
        </w:rPr>
        <w:t xml:space="preserve"> повідомила наступне. </w:t>
      </w:r>
    </w:p>
    <w:p w:rsidR="00B930CE" w:rsidRPr="0055049A" w:rsidRDefault="00B930CE" w:rsidP="003C17A6">
      <w:pPr>
        <w:pStyle w:val="a4"/>
        <w:spacing w:before="0" w:beforeAutospacing="0" w:after="0" w:afterAutospacing="0"/>
        <w:jc w:val="both"/>
        <w:rPr>
          <w:sz w:val="20"/>
          <w:szCs w:val="20"/>
        </w:rPr>
      </w:pPr>
      <w:r w:rsidRPr="0055049A">
        <w:rPr>
          <w:sz w:val="20"/>
          <w:szCs w:val="20"/>
        </w:rPr>
        <w:lastRenderedPageBreak/>
        <w:t xml:space="preserve">До Державної податкової служби України надходять повідомлення про телефонні дзвінки суб’єктам господарювання невідомих осіб, які представляються посадовими особами ДПС, її територіальних органів, та просять про надання фінансової допомоги.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Шахраї можуть використовувати різні номери телефонів, розрахункові рахунки, картки різних банківських установ.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Наголошуємо, що посадові особи ДПС діють виключно у рамках законодавства та не мають жодного відношення до таких дзвінків.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Просимо платників податків бути обережними та уважними. У разі надходження таких звернень від нібито «податківців» радимо звертатися до органів Національної поліції (тел. 102) або на «гарячу» телефонну лінію ДПС «Пульс» за тел. 0-800-501-007 (напрямок 5).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0"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1"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2"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Default="00B930CE" w:rsidP="003C17A6">
      <w:pPr>
        <w:rPr>
          <w:lang w:val="uk-UA"/>
        </w:rPr>
      </w:pPr>
    </w:p>
    <w:p w:rsidR="00B930CE" w:rsidRPr="0055049A" w:rsidRDefault="00B930CE" w:rsidP="003C17A6">
      <w:pPr>
        <w:pStyle w:val="1"/>
        <w:spacing w:before="0" w:beforeAutospacing="0" w:after="0" w:afterAutospacing="0"/>
        <w:rPr>
          <w:sz w:val="20"/>
          <w:szCs w:val="20"/>
        </w:rPr>
      </w:pPr>
      <w:r w:rsidRPr="0055049A">
        <w:rPr>
          <w:sz w:val="20"/>
          <w:szCs w:val="20"/>
        </w:rPr>
        <w:t>До уваги платників ПДВ, у яких зупинена реєстрація податкових накладних/розрахунків коригування!</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нагадує, що перелік документів, необхідних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Єдиному реєстрі податкових накладних (далі – ЄРПН), реєстрацію яких зупинено в ЄРПН (далі – Перелік) визначений п. 5 Порядку прийняття рішень про реєстрацію/відмову в реєстрації податкової накладної/розрахунку коригування в Єдиному реєстрі податкових накладних, затвердженого наказом Міністерства фінансів України від 12.12.2019 № 520, зареєстрованим в Міністерстві юстиції України 13.12.2019 за № 1245/34216 (далі – Порядок № 520).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Пунктом 7 Порядку № 520 встановлено, що письмові пояснення та копії документів, зазначених у п. 5 Порядку № 520, платник ПДВ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від 05 жовтня 2017 року № 2155-VIII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який зареєстровано в Міністерстві юстиції України 03.08.2017 за № 959/30827, зі змінами та доповненнями.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зупинено за формою, ідентифікатор якої розміщено на офіційному вебпорталі ДПС за адресою: </w:t>
      </w:r>
      <w:r w:rsidRPr="0055049A">
        <w:rPr>
          <w:rStyle w:val="a6"/>
          <w:sz w:val="20"/>
          <w:szCs w:val="20"/>
        </w:rPr>
        <w:t>Головна&gt;Електронна звітність&gt;Платникам податків про електронну звітність&gt;Інформаційно-аналітичне забезпечення&gt;Реєстр форм електронних документів</w:t>
      </w:r>
      <w:r w:rsidRPr="0055049A">
        <w:rPr>
          <w:sz w:val="20"/>
          <w:szCs w:val="20"/>
        </w:rPr>
        <w:t xml:space="preserve">.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Нормами п. 2 розділу ІІ Порядку № 557 визначено, що створення електронного документа завершується накладанням на нього кваліфікованого електронного підпису підписувача (підписувачів) та печатки (за наявності).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Платнику ПДВ копії документів, визначених Переліком не потрібно завіряти, оскільки документи подаються в сканованому вигляді у форматі PDF, PNG або JPG у вигляді окремих додатків до Повідомлення про подання пояснень та копій документів щодо податкових накладних/розрахунків коригування, реєстрацію яких зупинено з відповідним накладанням на них кваліфікованого електронного підпису та печатки (за наявності).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3"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4"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5"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Default="00B930CE">
      <w:pPr>
        <w:rPr>
          <w:lang w:val="uk-UA"/>
        </w:rPr>
      </w:pPr>
    </w:p>
    <w:p w:rsidR="00B930CE" w:rsidRDefault="00B930CE">
      <w:pPr>
        <w:rPr>
          <w:lang w:val="uk-UA"/>
        </w:rPr>
      </w:pPr>
    </w:p>
    <w:p w:rsidR="00B930CE" w:rsidRPr="0055049A" w:rsidRDefault="00B930CE" w:rsidP="003C17A6">
      <w:pPr>
        <w:pStyle w:val="1"/>
        <w:spacing w:before="0" w:beforeAutospacing="0" w:after="0" w:afterAutospacing="0"/>
        <w:rPr>
          <w:sz w:val="20"/>
          <w:szCs w:val="20"/>
        </w:rPr>
      </w:pPr>
      <w:r w:rsidRPr="0055049A">
        <w:rPr>
          <w:sz w:val="20"/>
          <w:szCs w:val="20"/>
        </w:rPr>
        <w:t>Про випадки, в яких ФОП – «спрощенці» не застосовують РРО/ПРРО у 2021 році</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доводить до відома, що Закон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визначає правові засади застосування реєстраторів розрахункових операцій (далі – РРО) та програмних ПРРО (далі – ПРРО)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Встановлення норм щодо незастосування РРО у інших законах, крім Податкового кодексу України (далі – ПКУ), не допускається.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Відповідно до п. 296.10 ст. 296 ПКУ РРО та/або ПРРО не застосовуються платниками єдиного податку першої групи. </w:t>
      </w:r>
    </w:p>
    <w:p w:rsidR="00B930CE" w:rsidRPr="0055049A" w:rsidRDefault="00B930CE" w:rsidP="003C17A6">
      <w:pPr>
        <w:pStyle w:val="a4"/>
        <w:spacing w:before="0" w:beforeAutospacing="0" w:after="0" w:afterAutospacing="0"/>
        <w:jc w:val="both"/>
        <w:rPr>
          <w:sz w:val="20"/>
          <w:szCs w:val="20"/>
        </w:rPr>
      </w:pPr>
      <w:r w:rsidRPr="0055049A">
        <w:rPr>
          <w:sz w:val="20"/>
          <w:szCs w:val="20"/>
        </w:rPr>
        <w:lastRenderedPageBreak/>
        <w:t xml:space="preserve">З 01 січня 2021 року до 01 січня 2022 року РРО та/або ПРРО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податкового (звітного) року, незалежно від обраного виду діяльності, крім тих, які здійснюють: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реалізацію технічно складних побутових товарів, що підлягають гарантійному ремонту;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реалізацію лікарських засобів, виробів медичного призначення та надання платних послуг у сфері охорони здоров’я;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6"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7"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8"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  </w:t>
      </w:r>
    </w:p>
    <w:p w:rsidR="00B930CE" w:rsidRPr="0055049A" w:rsidRDefault="00B930CE" w:rsidP="003C17A6">
      <w:pPr>
        <w:pStyle w:val="1"/>
        <w:spacing w:before="0" w:beforeAutospacing="0" w:after="0" w:afterAutospacing="0"/>
        <w:rPr>
          <w:sz w:val="20"/>
          <w:szCs w:val="20"/>
        </w:rPr>
      </w:pPr>
      <w:r w:rsidRPr="0055049A">
        <w:rPr>
          <w:sz w:val="20"/>
          <w:szCs w:val="20"/>
        </w:rPr>
        <w:t>Визначили у декларації податкове зобов’язання з плати за землю – сплатіть його своєчасно!</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Норми встановлені п. 287.3 ст. 287 Податкового кодексу України (далі – ПКУ). </w:t>
      </w:r>
    </w:p>
    <w:p w:rsidR="00B930CE" w:rsidRPr="0055049A" w:rsidRDefault="00B930CE" w:rsidP="003C17A6">
      <w:pPr>
        <w:pStyle w:val="a4"/>
        <w:spacing w:before="0" w:beforeAutospacing="0" w:after="0" w:afterAutospacing="0"/>
        <w:jc w:val="both"/>
        <w:rPr>
          <w:sz w:val="20"/>
          <w:szCs w:val="20"/>
        </w:rPr>
      </w:pPr>
      <w:r w:rsidRPr="0055049A">
        <w:rPr>
          <w:sz w:val="20"/>
          <w:szCs w:val="20"/>
        </w:rPr>
        <w:t xml:space="preserve">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(п. 287.4 ст. 287 ПКУ). </w:t>
      </w:r>
    </w:p>
    <w:p w:rsidR="00B930CE" w:rsidRPr="007335DF" w:rsidRDefault="00B930CE" w:rsidP="003C17A6">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29"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30"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3C17A6">
      <w:pPr>
        <w:pStyle w:val="a4"/>
        <w:spacing w:before="0" w:beforeAutospacing="0" w:after="0" w:afterAutospacing="0"/>
        <w:jc w:val="both"/>
        <w:rPr>
          <w:sz w:val="20"/>
          <w:szCs w:val="20"/>
        </w:rPr>
      </w:pPr>
      <w:hyperlink r:id="rId31"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Default="00B930CE" w:rsidP="003C17A6">
      <w:pPr>
        <w:rPr>
          <w:lang w:val="uk-UA"/>
        </w:rPr>
      </w:pPr>
    </w:p>
    <w:p w:rsidR="00B930CE" w:rsidRPr="0055049A" w:rsidRDefault="00B930CE" w:rsidP="00CD18BC">
      <w:pPr>
        <w:pStyle w:val="1"/>
        <w:spacing w:before="0" w:beforeAutospacing="0" w:after="0" w:afterAutospacing="0"/>
        <w:rPr>
          <w:sz w:val="20"/>
          <w:szCs w:val="20"/>
        </w:rPr>
      </w:pPr>
      <w:r w:rsidRPr="0055049A">
        <w:rPr>
          <w:sz w:val="20"/>
          <w:szCs w:val="20"/>
        </w:rPr>
        <w:t>Про законодавчі акти, на підставі яких здійснюється перевірка платників єдиного внеску</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відповідно до п. 2 частини першої ст. 13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документальні та камеральні перевірки проводяться у порядку, встановленому Податковим кодексом України (далі –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Порядок проведення документальних та камеральних перевірок регламентовано главою 8 розділу ІІ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Однією з підстав, яка надає контролюючому органу право на проведення документальної позапланової перевірки, може бути, припинення юридичної особи або підприємницької діяльності фізичної особи – підприємця, закриття постійного представництва чи відокремленого підрозділу юридичної особи, в тому числі іноземної компанії, організації, порушено провадження у справі про визнання банкрутом платника податків або подано заяву про зняття з обліку платника податків (п. п. 78.1.7 п. 78.1 ст. 78 глави 8 розділу ІІ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Рішення про проведення документальної позапланової перевірки з підстав, визначених, зокрема п. п. 78.1.7 п. 78.1 ст. 78 глави 8 розділу ІІ ПКУ приймається керівником контролюючого органу (його заступником або уповноваженою особою) та оформлюється наказом (п. 78.4 ст. 78 глави 8 розділу ІІ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Згідно з п. 1 розділу ІV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і доповненнями (далі – Порядок № 1162), процедури щодо правильності нарахування та сплати єдиного внеску на загальнообов’язкове державне соціальне страхування (далі – єдиний внесок) у зв’язку з припиненням платника єдиного внеску контролюючим органом розпочинаються та проводяться в разі одержання хоча б одного з таких документів (відомостей): відомостей державного реєстратора про внесення до Єдиного державного реєстру юридичних осіб, фізичних осіб – підприємців та громадських формувань (далі – Єдиний державний реєстр) запису про рішення засновників (учасників) юридичної особи, уповноваженого ними органу про припинення юридичної особи; відомостей з Єдиного державного реєстру чи ЄДРПОУ, повідомлення про припинення відокремленого підрозділу; судових рішень або відомостей з Єдиного державного реєстру, іншої інформації щодо прийняття судом рішень про порушення провадження у справі про банкрутство чи визнання банкрутом платника єдиного внеску, порушення справи або прийняття рішення судом про припинення юридичної особи, визнання недійсною державної реєстрації чи установчих документів такого платника, зміну мети установи, реорганізацію платника єдиного внеску.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При отриманні одного із зазначених документів (відомостей) контролюючий орган вносить відповідний запис до реєстру страхувальників. </w:t>
      </w:r>
    </w:p>
    <w:p w:rsidR="00B930CE" w:rsidRPr="0055049A" w:rsidRDefault="00B930CE" w:rsidP="00CD18BC">
      <w:pPr>
        <w:pStyle w:val="a4"/>
        <w:spacing w:before="0" w:beforeAutospacing="0" w:after="0" w:afterAutospacing="0"/>
        <w:jc w:val="both"/>
        <w:rPr>
          <w:sz w:val="20"/>
          <w:szCs w:val="20"/>
        </w:rPr>
      </w:pPr>
      <w:r w:rsidRPr="0055049A">
        <w:rPr>
          <w:sz w:val="20"/>
          <w:szCs w:val="20"/>
        </w:rPr>
        <w:lastRenderedPageBreak/>
        <w:t xml:space="preserve">Після отримання від державного реєстратора відповідних відомостей згідно з п. 1 розділу ІV Порядку № 1162 контролюючий орган проводить передбачену законодавством перевірку платника щодо правильності нарахування та сплати єдиного внеску (п. 2 розділу ІV Порядку № 1162).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2"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3"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4"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E6326C" w:rsidRDefault="00B930CE"/>
    <w:p w:rsidR="00B930CE" w:rsidRPr="0055049A" w:rsidRDefault="00B930CE" w:rsidP="00CD18BC">
      <w:pPr>
        <w:pStyle w:val="1"/>
        <w:spacing w:before="0" w:beforeAutospacing="0" w:after="0" w:afterAutospacing="0"/>
        <w:rPr>
          <w:sz w:val="20"/>
          <w:szCs w:val="20"/>
        </w:rPr>
      </w:pPr>
      <w:r w:rsidRPr="0055049A">
        <w:rPr>
          <w:sz w:val="20"/>
          <w:szCs w:val="20"/>
        </w:rPr>
        <w:t>Оплата праці найманих працівників включається до складу витрат ФОП – «загальносистемника»</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до переліку витрат, безпосередньо пов’язаних з отриманням доходів фізичною особою – підприємцем (ФОП) від провадження господарської діяльності на загальній системі оподаткування належать, зокрема, витрати на оплату праці фізичних осіб, що перебувають у трудових відносинах з таким платником податку, які включають витрати на оплату основної і додаткової заробітної плати та інших видів заохочень і виплат виходячи з тарифних ставок, у вигляді премій, заохочень, відшкодувань вартості товарів (робіт, послуг), витрати на оплату за виконання робіт, послуг згідно з договорами цивільно-правового характеру, будь-яка інша оплата у грошовій або натуральній формі, встановлена за домовленістю сторін (крім сум матеріальної допомоги, які звільняються від оподаткування згідно з нормами розділу IV Податкового кодексу України (далі –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Норми передбачені п. п. 177.4.2 п. 177.4 ст. 177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Підпунктом 164.2.1 п. 164.2 ст. 164 ПКУ встановлено, що доходи у вигляді заробітної плати, нараховані (виплачені) платнику податку на доходи фізичних осіб (ПДФО) відповідно до умов трудового договору (контракту) включаються до загального місячного (річного) оподатковуваного доходу платника ПДФО.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за її наявності (п. 164.6 ст. 164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Згідно з розділу III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затвердженого наказом Міністерства фінансів України від 13.01.2015 № 4 (у редакції наказу Міністерства фінансів України від 15.12.2020 № 773), у графі 3а «Сума нарахованого доходу» відображається нарахований дохід повністю, без вирахування ПДФО, страхових внесків до Накопичувального фонду,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Таким чином, до складу витрат ФОП на загальній системі оподаткування включається сума нарахованої заробітної плати без вирахувань.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5"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6"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7"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E6326C" w:rsidRDefault="00B930CE"/>
    <w:p w:rsidR="00B930CE" w:rsidRPr="00E6326C" w:rsidRDefault="00B930CE" w:rsidP="00CD18BC">
      <w:pPr>
        <w:pStyle w:val="1"/>
        <w:spacing w:before="0" w:beforeAutospacing="0" w:after="0" w:afterAutospacing="0"/>
        <w:rPr>
          <w:sz w:val="20"/>
          <w:szCs w:val="20"/>
        </w:rPr>
      </w:pPr>
      <w:r w:rsidRPr="0055049A">
        <w:rPr>
          <w:sz w:val="20"/>
          <w:szCs w:val="20"/>
        </w:rPr>
        <w:t>Чи</w:t>
      </w:r>
      <w:r w:rsidRPr="00E6326C">
        <w:rPr>
          <w:sz w:val="20"/>
          <w:szCs w:val="20"/>
        </w:rPr>
        <w:t xml:space="preserve"> </w:t>
      </w:r>
      <w:r w:rsidRPr="0055049A">
        <w:rPr>
          <w:sz w:val="20"/>
          <w:szCs w:val="20"/>
        </w:rPr>
        <w:t>оподатковується</w:t>
      </w:r>
      <w:r w:rsidRPr="00E6326C">
        <w:rPr>
          <w:sz w:val="20"/>
          <w:szCs w:val="20"/>
        </w:rPr>
        <w:t xml:space="preserve"> </w:t>
      </w:r>
      <w:r w:rsidRPr="0055049A">
        <w:rPr>
          <w:sz w:val="20"/>
          <w:szCs w:val="20"/>
        </w:rPr>
        <w:t>дохід</w:t>
      </w:r>
      <w:r w:rsidRPr="00E6326C">
        <w:rPr>
          <w:sz w:val="20"/>
          <w:szCs w:val="20"/>
        </w:rPr>
        <w:t xml:space="preserve"> </w:t>
      </w:r>
      <w:r w:rsidRPr="0055049A">
        <w:rPr>
          <w:sz w:val="20"/>
          <w:szCs w:val="20"/>
        </w:rPr>
        <w:t>фізособи</w:t>
      </w:r>
      <w:r w:rsidRPr="00E6326C">
        <w:rPr>
          <w:sz w:val="20"/>
          <w:szCs w:val="20"/>
        </w:rPr>
        <w:t xml:space="preserve"> </w:t>
      </w:r>
      <w:r w:rsidRPr="0055049A">
        <w:rPr>
          <w:sz w:val="20"/>
          <w:szCs w:val="20"/>
        </w:rPr>
        <w:t>від</w:t>
      </w:r>
      <w:r w:rsidRPr="00E6326C">
        <w:rPr>
          <w:sz w:val="20"/>
          <w:szCs w:val="20"/>
        </w:rPr>
        <w:t xml:space="preserve"> </w:t>
      </w:r>
      <w:r w:rsidRPr="0055049A">
        <w:rPr>
          <w:sz w:val="20"/>
          <w:szCs w:val="20"/>
        </w:rPr>
        <w:t>продажу</w:t>
      </w:r>
      <w:r w:rsidRPr="00E6326C">
        <w:rPr>
          <w:sz w:val="20"/>
          <w:szCs w:val="20"/>
        </w:rPr>
        <w:t xml:space="preserve"> </w:t>
      </w:r>
      <w:r w:rsidRPr="0055049A">
        <w:rPr>
          <w:sz w:val="20"/>
          <w:szCs w:val="20"/>
        </w:rPr>
        <w:t>іншим</w:t>
      </w:r>
      <w:r w:rsidRPr="00E6326C">
        <w:rPr>
          <w:sz w:val="20"/>
          <w:szCs w:val="20"/>
        </w:rPr>
        <w:t xml:space="preserve"> </w:t>
      </w:r>
      <w:r w:rsidRPr="0055049A">
        <w:rPr>
          <w:sz w:val="20"/>
          <w:szCs w:val="20"/>
        </w:rPr>
        <w:t>фізособам</w:t>
      </w:r>
      <w:r w:rsidRPr="00E6326C">
        <w:rPr>
          <w:sz w:val="20"/>
          <w:szCs w:val="20"/>
        </w:rPr>
        <w:t xml:space="preserve"> </w:t>
      </w:r>
      <w:r w:rsidRPr="0055049A">
        <w:rPr>
          <w:sz w:val="20"/>
          <w:szCs w:val="20"/>
        </w:rPr>
        <w:t>власної</w:t>
      </w:r>
      <w:r w:rsidRPr="00E6326C">
        <w:rPr>
          <w:sz w:val="20"/>
          <w:szCs w:val="20"/>
        </w:rPr>
        <w:t xml:space="preserve"> </w:t>
      </w:r>
      <w:r w:rsidRPr="0055049A">
        <w:rPr>
          <w:sz w:val="20"/>
          <w:szCs w:val="20"/>
        </w:rPr>
        <w:t>продукції</w:t>
      </w:r>
      <w:r w:rsidRPr="00E6326C">
        <w:rPr>
          <w:sz w:val="20"/>
          <w:szCs w:val="20"/>
        </w:rPr>
        <w:t xml:space="preserve">, </w:t>
      </w:r>
      <w:r w:rsidRPr="0055049A">
        <w:rPr>
          <w:sz w:val="20"/>
          <w:szCs w:val="20"/>
        </w:rPr>
        <w:t>вирощеної</w:t>
      </w:r>
      <w:r w:rsidRPr="00E6326C">
        <w:rPr>
          <w:sz w:val="20"/>
          <w:szCs w:val="20"/>
        </w:rPr>
        <w:t xml:space="preserve"> </w:t>
      </w:r>
      <w:r w:rsidRPr="0055049A">
        <w:rPr>
          <w:sz w:val="20"/>
          <w:szCs w:val="20"/>
        </w:rPr>
        <w:t>на</w:t>
      </w:r>
      <w:r w:rsidRPr="00E6326C">
        <w:rPr>
          <w:sz w:val="20"/>
          <w:szCs w:val="20"/>
        </w:rPr>
        <w:t xml:space="preserve"> </w:t>
      </w:r>
      <w:r w:rsidRPr="0055049A">
        <w:rPr>
          <w:sz w:val="20"/>
          <w:szCs w:val="20"/>
        </w:rPr>
        <w:t>власній</w:t>
      </w:r>
      <w:r w:rsidRPr="00E6326C">
        <w:rPr>
          <w:sz w:val="20"/>
          <w:szCs w:val="20"/>
        </w:rPr>
        <w:t xml:space="preserve"> </w:t>
      </w:r>
      <w:r w:rsidRPr="0055049A">
        <w:rPr>
          <w:sz w:val="20"/>
          <w:szCs w:val="20"/>
        </w:rPr>
        <w:t>земельній</w:t>
      </w:r>
      <w:r w:rsidRPr="00E6326C">
        <w:rPr>
          <w:sz w:val="20"/>
          <w:szCs w:val="20"/>
        </w:rPr>
        <w:t xml:space="preserve"> </w:t>
      </w:r>
      <w:r w:rsidRPr="0055049A">
        <w:rPr>
          <w:sz w:val="20"/>
          <w:szCs w:val="20"/>
        </w:rPr>
        <w:t>ділянці</w:t>
      </w:r>
      <w:r w:rsidRPr="00E6326C">
        <w:rPr>
          <w:sz w:val="20"/>
          <w:szCs w:val="20"/>
        </w:rPr>
        <w:t>?</w:t>
      </w:r>
    </w:p>
    <w:p w:rsidR="00B930CE" w:rsidRPr="00E6326C" w:rsidRDefault="00B930CE" w:rsidP="00CD18BC">
      <w:pPr>
        <w:pStyle w:val="a4"/>
        <w:spacing w:before="0" w:beforeAutospacing="0" w:after="0" w:afterAutospacing="0"/>
        <w:jc w:val="both"/>
        <w:rPr>
          <w:sz w:val="20"/>
          <w:szCs w:val="20"/>
        </w:rPr>
      </w:pPr>
      <w:r w:rsidRPr="0055049A">
        <w:rPr>
          <w:sz w:val="20"/>
          <w:szCs w:val="20"/>
        </w:rPr>
        <w:t>Головне</w:t>
      </w:r>
      <w:r w:rsidRPr="00E6326C">
        <w:rPr>
          <w:sz w:val="20"/>
          <w:szCs w:val="20"/>
        </w:rPr>
        <w:t xml:space="preserve"> </w:t>
      </w:r>
      <w:r w:rsidRPr="0055049A">
        <w:rPr>
          <w:sz w:val="20"/>
          <w:szCs w:val="20"/>
        </w:rPr>
        <w:t>управління</w:t>
      </w:r>
      <w:r w:rsidRPr="00E6326C">
        <w:rPr>
          <w:sz w:val="20"/>
          <w:szCs w:val="20"/>
        </w:rPr>
        <w:t xml:space="preserve"> </w:t>
      </w:r>
      <w:r w:rsidRPr="0055049A">
        <w:rPr>
          <w:sz w:val="20"/>
          <w:szCs w:val="20"/>
        </w:rPr>
        <w:t>ДПС</w:t>
      </w:r>
      <w:r w:rsidRPr="00E6326C">
        <w:rPr>
          <w:sz w:val="20"/>
          <w:szCs w:val="20"/>
        </w:rPr>
        <w:t xml:space="preserve"> </w:t>
      </w:r>
      <w:r w:rsidRPr="0055049A">
        <w:rPr>
          <w:sz w:val="20"/>
          <w:szCs w:val="20"/>
        </w:rPr>
        <w:t>у</w:t>
      </w:r>
      <w:r w:rsidRPr="00E6326C">
        <w:rPr>
          <w:sz w:val="20"/>
          <w:szCs w:val="20"/>
        </w:rPr>
        <w:t xml:space="preserve"> </w:t>
      </w:r>
      <w:r w:rsidRPr="0055049A">
        <w:rPr>
          <w:sz w:val="20"/>
          <w:szCs w:val="20"/>
        </w:rPr>
        <w:t>Дніпропетровській</w:t>
      </w:r>
      <w:r w:rsidRPr="00E6326C">
        <w:rPr>
          <w:sz w:val="20"/>
          <w:szCs w:val="20"/>
        </w:rPr>
        <w:t xml:space="preserve"> </w:t>
      </w:r>
      <w:r w:rsidRPr="0055049A">
        <w:rPr>
          <w:sz w:val="20"/>
          <w:szCs w:val="20"/>
        </w:rPr>
        <w:t>області</w:t>
      </w:r>
      <w:r w:rsidRPr="00E6326C">
        <w:rPr>
          <w:sz w:val="20"/>
          <w:szCs w:val="20"/>
        </w:rPr>
        <w:t xml:space="preserve"> </w:t>
      </w:r>
      <w:r w:rsidRPr="0055049A">
        <w:rPr>
          <w:sz w:val="20"/>
          <w:szCs w:val="20"/>
        </w:rPr>
        <w:t>нагадує</w:t>
      </w:r>
      <w:r w:rsidRPr="00E6326C">
        <w:rPr>
          <w:sz w:val="20"/>
          <w:szCs w:val="20"/>
        </w:rPr>
        <w:t xml:space="preserve">, </w:t>
      </w:r>
      <w:r w:rsidRPr="0055049A">
        <w:rPr>
          <w:sz w:val="20"/>
          <w:szCs w:val="20"/>
        </w:rPr>
        <w:t>що</w:t>
      </w:r>
      <w:r w:rsidRPr="00E6326C">
        <w:rPr>
          <w:sz w:val="20"/>
          <w:szCs w:val="20"/>
        </w:rPr>
        <w:t xml:space="preserve"> </w:t>
      </w:r>
      <w:r w:rsidRPr="00097F7D">
        <w:rPr>
          <w:sz w:val="20"/>
          <w:szCs w:val="20"/>
          <w:lang w:val="en-US"/>
        </w:rPr>
        <w:t> </w:t>
      </w:r>
      <w:r w:rsidRPr="0055049A">
        <w:rPr>
          <w:sz w:val="20"/>
          <w:szCs w:val="20"/>
        </w:rPr>
        <w:t>оподаткування</w:t>
      </w:r>
      <w:r w:rsidRPr="00E6326C">
        <w:rPr>
          <w:sz w:val="20"/>
          <w:szCs w:val="20"/>
        </w:rPr>
        <w:t xml:space="preserve"> </w:t>
      </w:r>
      <w:r w:rsidRPr="0055049A">
        <w:rPr>
          <w:sz w:val="20"/>
          <w:szCs w:val="20"/>
        </w:rPr>
        <w:t>доходів</w:t>
      </w:r>
      <w:r w:rsidRPr="00E6326C">
        <w:rPr>
          <w:sz w:val="20"/>
          <w:szCs w:val="20"/>
        </w:rPr>
        <w:t xml:space="preserve"> </w:t>
      </w:r>
      <w:r w:rsidRPr="0055049A">
        <w:rPr>
          <w:sz w:val="20"/>
          <w:szCs w:val="20"/>
        </w:rPr>
        <w:t>фізичних</w:t>
      </w:r>
      <w:r w:rsidRPr="00E6326C">
        <w:rPr>
          <w:sz w:val="20"/>
          <w:szCs w:val="20"/>
        </w:rPr>
        <w:t xml:space="preserve"> </w:t>
      </w:r>
      <w:r w:rsidRPr="0055049A">
        <w:rPr>
          <w:sz w:val="20"/>
          <w:szCs w:val="20"/>
        </w:rPr>
        <w:t>осіб</w:t>
      </w:r>
      <w:r w:rsidRPr="00E6326C">
        <w:rPr>
          <w:sz w:val="20"/>
          <w:szCs w:val="20"/>
        </w:rPr>
        <w:t xml:space="preserve"> </w:t>
      </w:r>
      <w:r w:rsidRPr="0055049A">
        <w:rPr>
          <w:sz w:val="20"/>
          <w:szCs w:val="20"/>
        </w:rPr>
        <w:t>регламентується</w:t>
      </w:r>
      <w:r w:rsidRPr="00E6326C">
        <w:rPr>
          <w:sz w:val="20"/>
          <w:szCs w:val="20"/>
        </w:rPr>
        <w:t xml:space="preserve"> </w:t>
      </w:r>
      <w:r w:rsidRPr="0055049A">
        <w:rPr>
          <w:sz w:val="20"/>
          <w:szCs w:val="20"/>
        </w:rPr>
        <w:t>розділом</w:t>
      </w:r>
      <w:r w:rsidRPr="00E6326C">
        <w:rPr>
          <w:sz w:val="20"/>
          <w:szCs w:val="20"/>
        </w:rPr>
        <w:t xml:space="preserve"> </w:t>
      </w:r>
      <w:r w:rsidRPr="0055049A">
        <w:rPr>
          <w:sz w:val="20"/>
          <w:szCs w:val="20"/>
        </w:rPr>
        <w:t>І</w:t>
      </w:r>
      <w:r w:rsidRPr="00097F7D">
        <w:rPr>
          <w:sz w:val="20"/>
          <w:szCs w:val="20"/>
          <w:lang w:val="en-US"/>
        </w:rPr>
        <w:t>V</w:t>
      </w:r>
      <w:r w:rsidRPr="00E6326C">
        <w:rPr>
          <w:sz w:val="20"/>
          <w:szCs w:val="20"/>
        </w:rPr>
        <w:t xml:space="preserve"> </w:t>
      </w:r>
      <w:r w:rsidRPr="0055049A">
        <w:rPr>
          <w:sz w:val="20"/>
          <w:szCs w:val="20"/>
        </w:rPr>
        <w:t>Податкового</w:t>
      </w:r>
      <w:r w:rsidRPr="00E6326C">
        <w:rPr>
          <w:sz w:val="20"/>
          <w:szCs w:val="20"/>
        </w:rPr>
        <w:t xml:space="preserve"> </w:t>
      </w:r>
      <w:r w:rsidRPr="0055049A">
        <w:rPr>
          <w:sz w:val="20"/>
          <w:szCs w:val="20"/>
        </w:rPr>
        <w:t>кодексу</w:t>
      </w:r>
      <w:r w:rsidRPr="00E6326C">
        <w:rPr>
          <w:sz w:val="20"/>
          <w:szCs w:val="20"/>
        </w:rPr>
        <w:t xml:space="preserve"> </w:t>
      </w:r>
      <w:r w:rsidRPr="0055049A">
        <w:rPr>
          <w:sz w:val="20"/>
          <w:szCs w:val="20"/>
        </w:rPr>
        <w:t>України</w:t>
      </w:r>
      <w:r w:rsidRPr="00E6326C">
        <w:rPr>
          <w:sz w:val="20"/>
          <w:szCs w:val="20"/>
        </w:rPr>
        <w:t xml:space="preserve"> (</w:t>
      </w:r>
      <w:r w:rsidRPr="0055049A">
        <w:rPr>
          <w:sz w:val="20"/>
          <w:szCs w:val="20"/>
        </w:rPr>
        <w:t>далі</w:t>
      </w:r>
      <w:r w:rsidRPr="00E6326C">
        <w:rPr>
          <w:sz w:val="20"/>
          <w:szCs w:val="20"/>
        </w:rPr>
        <w:t xml:space="preserve"> – </w:t>
      </w:r>
      <w:r w:rsidRPr="0055049A">
        <w:rPr>
          <w:sz w:val="20"/>
          <w:szCs w:val="20"/>
        </w:rPr>
        <w:t>ПКУ</w:t>
      </w:r>
      <w:r w:rsidRPr="00E6326C">
        <w:rPr>
          <w:sz w:val="20"/>
          <w:szCs w:val="20"/>
        </w:rPr>
        <w:t xml:space="preserve">).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Нормами п. п. 165.1.24 п. 165.1 ст. 165 визначено, що до загального місячного (річного) оподатковуваного доходу платника податку на доходи фізичних осіб (ПДФО) не включаються доходи, отримані від продажу власної сільськогосподарської продукції, що, зокрема вирощена,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 від 25 жовтня 2001 року № 2768-III із змінами та доповненнями для ведення, зокрема: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 При цьому якщо власник сільськогосподарської продукції має ще земельні частки (паї), виділені в натурі (на місцевості), але не використовує їх (здає в оренду або обслуговує), отримані ним доходи від продажу сільськогосподарської продукції не включаються до загального місячного (річного) оподатковуваного доходу;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 особистого селянського господарства та/або земельні частки (паї), виділені в натурі (на місцевості), сукупний розмір яких не перевищує 2 гектари. При цьому розмір земельних ділянок, зазначених в абзаці другому цього підпункту, а також розмір виділених в натурі (на місцевості) земельних часток (паїв), які не використовуються (здаються в оренду, обслуговуються), не враховуються. </w:t>
      </w:r>
    </w:p>
    <w:p w:rsidR="00B930CE" w:rsidRPr="0055049A" w:rsidRDefault="00B930CE" w:rsidP="00CD18BC">
      <w:pPr>
        <w:pStyle w:val="a4"/>
        <w:spacing w:before="0" w:beforeAutospacing="0" w:after="0" w:afterAutospacing="0"/>
        <w:jc w:val="both"/>
        <w:rPr>
          <w:sz w:val="20"/>
          <w:szCs w:val="20"/>
        </w:rPr>
      </w:pPr>
      <w:r w:rsidRPr="0055049A">
        <w:rPr>
          <w:sz w:val="20"/>
          <w:szCs w:val="20"/>
        </w:rPr>
        <w:lastRenderedPageBreak/>
        <w:t xml:space="preserve">Якщо розмір земельних ділянок, зазначених в абзаці третьому п. п. 165.1.24  п. 165.1 ст. 165 ПКУ, перевищує 2 гектари, дохід від продажу сільськогосподарської продукції підлягає оподаткуванню на загальних підставах.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Підставою для не включення до загального місячного (річного) оподатковуваного доходу платника ПДФО доходів, отриманих від продажу власної сільськогосподарської продукції, що вирощена, відгодована, виловлена, зібрана, виготовлена, оброблена та/або перероблена безпосередньо фізичною особою на земельних ділянках є наявність у такої фізичної особи довідки за формою № 3-ДФ. Порядок видачі довідки про наявність у фізичної особи земельних ділянок за формою № 3-ДФ, затверджений наказом Міністерства доходів і зборів України від 17.01.2014 № 32.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Довідка видається сільською, селищною, міською радою або радою об’єднаних територіальних громад, що створена згідно із законом та перспективним планом формування територій громад, за місцем податкової адреси (місцем проживання) платника податку протягом п’яти робочих днів з дня отримання відповідною радою письмової заяви про видачу такої довідки. Оригінал довідки зберігається у власника сільськогосподарської продукції протягом строку позовної давності з дати закінчення дії такої довідки.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Однак, якщо при продажу фізичною особою власної сільськогосподарської продукції (крім продукції тваринництва) умови п. п. 165.1.24 п. 165.1 ст. 165 ПКУ не виконуються, то сума доходу, отриманого від такого продажу, включається до загального місячного (річного) оподатковуваного доходу платника ПДФО та оподатковується на загальних підставах. При цьому такий платник податків зобов’язаний включити суму таких доходів до загального річного оподатковуваного доходу та подати податкову декларацію за наслідками звітного податкового року, а також сплатити податок з таких доходів (п. п. 168.2.1 п. 168.2 ст. 168 ПКУ).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8"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39"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0"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E6326C" w:rsidRDefault="00B930CE"/>
    <w:p w:rsidR="00B930CE" w:rsidRPr="0055049A" w:rsidRDefault="00B930CE" w:rsidP="00CD18BC">
      <w:pPr>
        <w:pStyle w:val="1"/>
        <w:spacing w:before="0" w:beforeAutospacing="0" w:after="0" w:afterAutospacing="0"/>
        <w:rPr>
          <w:sz w:val="20"/>
          <w:szCs w:val="20"/>
        </w:rPr>
      </w:pPr>
      <w:r w:rsidRPr="0055049A">
        <w:rPr>
          <w:sz w:val="20"/>
          <w:szCs w:val="20"/>
        </w:rPr>
        <w:t>Надання інформації контролюючому органу щодо КЕП можливо здійснити в електронному вигляді</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для надання права підпису електронних документів іншим особам, яким делеговано право підпису, автор електронного документа (далі – автор) повідомляє про таких осіб контролюючий орган, на обліку в якому перебуває автор, шляхом направлення повідомлення про надання інформації щодо кваліфікованого електронного підпису (далі – Повідомлення) в електронному вигляді за формою згідно з додатком 2 до Порядку обміну електронними документами з контролюючими органами, затвердженого наказом Міністерства фінансів України від 06.06.2017 № 557 (в редакції наказу Міністерства фінансів України від 01.06.2020 № 261) (далі – Порядок № 557).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Норми визначені п. 3 розділу ІІІ Порядку № 557.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Електронні форми документів у форматі за стандартом на основі специфікації eXtensibleMarkupLanguage (XML) оприлюднюються на офіційному вебпорталі ДПС (п. 4 розділу ІІ Порядку № 557).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Повідомлення за формою </w:t>
      </w:r>
      <w:r w:rsidRPr="0055049A">
        <w:rPr>
          <w:rStyle w:val="a5"/>
          <w:sz w:val="20"/>
          <w:szCs w:val="20"/>
        </w:rPr>
        <w:t>J1391103</w:t>
      </w:r>
      <w:r w:rsidRPr="0055049A">
        <w:rPr>
          <w:sz w:val="20"/>
          <w:szCs w:val="20"/>
        </w:rPr>
        <w:t xml:space="preserve"> (для юридичних осіб) та </w:t>
      </w:r>
      <w:r w:rsidRPr="0055049A">
        <w:rPr>
          <w:rStyle w:val="a5"/>
          <w:sz w:val="20"/>
          <w:szCs w:val="20"/>
        </w:rPr>
        <w:t>F1391103</w:t>
      </w:r>
      <w:r w:rsidRPr="0055049A">
        <w:rPr>
          <w:sz w:val="20"/>
          <w:szCs w:val="20"/>
        </w:rPr>
        <w:t xml:space="preserve"> (для фізичних осіб) розміщені на офіційному вебпорталі ДПС за посиланням: Головна/Електронна звітність/Платникам податків про електронну звітність/Інформаційно-аналітичне забезпечення/Реєстр форм електронних документів/Реєстр форм електронних документів (перелік сервісних запитів) для юридичних осіб, Реєстр форм електронних документів (перелік сервісних запитів) для фізичних осіб (</w:t>
      </w:r>
      <w:hyperlink r:id="rId41" w:history="1">
        <w:r w:rsidRPr="0055049A">
          <w:rPr>
            <w:rStyle w:val="a3"/>
            <w:sz w:val="20"/>
            <w:szCs w:val="20"/>
          </w:rPr>
          <w:t>https://tax.gov.ua/elektronna-zvitnist/platnikam-podatkiv-pro/informatsiyno-analitichne-za/reestr-elektronnih-form-po/</w:t>
        </w:r>
      </w:hyperlink>
      <w:r w:rsidRPr="0055049A">
        <w:rPr>
          <w:sz w:val="20"/>
          <w:szCs w:val="20"/>
        </w:rPr>
        <w:t xml:space="preserve">).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Крім того, Повідомлення можна знайти у розділі «Введення звітності» приватної частини (особистого кабінету) Електронного кабінету.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При цьому при створенні Повідомлення за формою </w:t>
      </w:r>
      <w:r w:rsidRPr="0055049A">
        <w:rPr>
          <w:rStyle w:val="a5"/>
          <w:sz w:val="20"/>
          <w:szCs w:val="20"/>
        </w:rPr>
        <w:t>J1391103</w:t>
      </w:r>
      <w:r w:rsidRPr="0055049A">
        <w:rPr>
          <w:sz w:val="20"/>
          <w:szCs w:val="20"/>
        </w:rPr>
        <w:t xml:space="preserve"> або </w:t>
      </w:r>
      <w:r w:rsidRPr="0055049A">
        <w:rPr>
          <w:rStyle w:val="a5"/>
          <w:sz w:val="20"/>
          <w:szCs w:val="20"/>
        </w:rPr>
        <w:t>F1391103</w:t>
      </w:r>
      <w:r w:rsidRPr="0055049A">
        <w:rPr>
          <w:sz w:val="20"/>
          <w:szCs w:val="20"/>
        </w:rPr>
        <w:t xml:space="preserve"> (далі – Запит) у розділі «Введення звітності» приватної частини (особистого кабінету) Електронного кабінету обираються рік та місяць, в якому направляється Запит.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Дата формування (відправлення) Запиту заповнюється в автоматичному режимі та відповідає даті фактичного відправлення Запиту.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2"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3"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4"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E6326C" w:rsidRDefault="00B930CE"/>
    <w:p w:rsidR="00B930CE" w:rsidRPr="0055049A" w:rsidRDefault="00B930CE" w:rsidP="00CD18BC">
      <w:pPr>
        <w:pStyle w:val="1"/>
        <w:spacing w:before="0" w:beforeAutospacing="0" w:after="0" w:afterAutospacing="0"/>
        <w:rPr>
          <w:sz w:val="20"/>
          <w:szCs w:val="20"/>
        </w:rPr>
      </w:pPr>
      <w:r w:rsidRPr="0055049A">
        <w:rPr>
          <w:sz w:val="20"/>
          <w:szCs w:val="20"/>
        </w:rPr>
        <w:t>До уваги роботодавців!</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інформує, що до тарифних ставок і посадових окладів працівників, направлених для виконання монтажних, налагоджувальних, ремонтних і будівельних робіт, та працівників, робота яких виконується вахтовим методом, постійно проводиться в дорозі або має роз’їзний (пересувний) характер» із змінами та доповненнями, підприємства самостійно встановлюють надбавки до </w:t>
      </w:r>
      <w:r w:rsidRPr="0055049A">
        <w:rPr>
          <w:sz w:val="20"/>
          <w:szCs w:val="20"/>
        </w:rPr>
        <w:lastRenderedPageBreak/>
        <w:t xml:space="preserve">тарифних ставок і посадових окладів працівників, робота яких постійно проводиться в дорозі або має роз’їзний характер, у розмірах, передбачених колективними договорами або за погодженням із замовником.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Норми визначені п. 1 постанови Кабінету Міністрів України від 31 березня 1999 року № 490 «Про надбавки (польове забезпечення) Граничні розміри надбавок (польового забезпечення) працівникам за день не можуть перевищувати граничні норми витрат, установлених постановою Кабінету Міністрів України від 02 лютого 2011 року № 98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із змінами та доповненнями.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Підпунктом 14.1.48 п. 14.1 ст. 14 Податкового кодексу України (далі – ПКУ) встановлено, що заробітна плата для цілей розділу ІV ПКУ – це основна та додаткова заробітна плата, інші заохочувальні та компенсаційні виплати, які виплачуються (надаються) платнику податку на доходи фізичних осіб (ПДФО) у зв’язку з відносинами трудового найму згідно з законом.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До загального місячного (річного) оподатковуваного доходу платника ПДФО включаються доходи у вигляді заробітної плати, нараховані (виплачені) платнику податку відповідно до умов трудового договору (контракту) (п. п. 164.2.1 п. 164.2 ст. 164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за її наявності (п. 164.6 ст. 164 ПКУ).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Нормами п. 167.1 ст. 167 ПКУ передбачено, що ставка ПДФО становить 18 відс. бази оподаткування щодо доходів, нарахованих (виплачених, наданих) (крім випадків, визначених у пунктах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 </w:t>
      </w:r>
    </w:p>
    <w:p w:rsidR="00B930CE" w:rsidRPr="0055049A" w:rsidRDefault="00B930CE" w:rsidP="00CD18BC">
      <w:pPr>
        <w:pStyle w:val="a4"/>
        <w:spacing w:before="0" w:beforeAutospacing="0" w:after="0" w:afterAutospacing="0"/>
        <w:jc w:val="both"/>
        <w:rPr>
          <w:sz w:val="20"/>
          <w:szCs w:val="20"/>
        </w:rPr>
      </w:pPr>
      <w:r w:rsidRPr="0055049A">
        <w:rPr>
          <w:sz w:val="20"/>
          <w:szCs w:val="20"/>
        </w:rPr>
        <w:t xml:space="preserve">Враховуючи вищевикладене, якщо роботодавець здійснює доплати (надбавки) до посадових окладів працівників за роз’їзний (пересувний) характер роботи у розмірах, передбачених трудовим або колективним договором, то такі доплати включаються до складу заробітної плати та оподатковуються у її складі ПДФО відповідно до п. п. 164.2.1 п. 164.2 ст. 164 ПКУ за ставкою 18 відсотків.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5" w:history="1">
        <w:r w:rsidR="00B930CE" w:rsidRPr="0055049A">
          <w:rPr>
            <w:rStyle w:val="a3"/>
            <w:sz w:val="20"/>
            <w:szCs w:val="20"/>
          </w:rPr>
          <w:t>https://dp.tax.gov.ua/</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6" w:history="1">
        <w:r w:rsidR="00B930CE" w:rsidRPr="0055049A">
          <w:rPr>
            <w:rStyle w:val="a3"/>
            <w:sz w:val="20"/>
            <w:szCs w:val="20"/>
          </w:rPr>
          <w:t>https://www.facebook.com/tax.dnipropetrovsk/</w:t>
        </w:r>
      </w:hyperlink>
      <w:r w:rsidR="00B930CE" w:rsidRPr="0055049A">
        <w:rPr>
          <w:sz w:val="20"/>
          <w:szCs w:val="20"/>
        </w:rPr>
        <w:t xml:space="preserve">; </w:t>
      </w:r>
    </w:p>
    <w:p w:rsidR="00B930CE" w:rsidRPr="0055049A" w:rsidRDefault="006B0DA8" w:rsidP="00CD18BC">
      <w:pPr>
        <w:pStyle w:val="a4"/>
        <w:spacing w:before="0" w:beforeAutospacing="0" w:after="0" w:afterAutospacing="0"/>
        <w:jc w:val="both"/>
        <w:rPr>
          <w:sz w:val="20"/>
          <w:szCs w:val="20"/>
        </w:rPr>
      </w:pPr>
      <w:hyperlink r:id="rId47" w:history="1">
        <w:r w:rsidR="00B930CE" w:rsidRPr="0055049A">
          <w:rPr>
            <w:rStyle w:val="a3"/>
            <w:sz w:val="20"/>
            <w:szCs w:val="20"/>
          </w:rPr>
          <w:t>https://www.youtube.com/channel/UCIxijADr1NbFo5dhZ3mQwVA</w:t>
        </w:r>
      </w:hyperlink>
      <w:r w:rsidR="00B930CE" w:rsidRPr="0055049A">
        <w:rPr>
          <w:sz w:val="20"/>
          <w:szCs w:val="20"/>
        </w:rPr>
        <w:t xml:space="preserve"> </w:t>
      </w:r>
    </w:p>
    <w:p w:rsidR="00B930CE" w:rsidRPr="00CD18BC" w:rsidRDefault="00B930CE" w:rsidP="00CD18BC">
      <w:pPr>
        <w:jc w:val="both"/>
        <w:rPr>
          <w:b/>
          <w:sz w:val="20"/>
          <w:szCs w:val="20"/>
        </w:rPr>
      </w:pPr>
    </w:p>
    <w:p w:rsidR="00B930CE" w:rsidRPr="00EA6A9D" w:rsidRDefault="00B930CE" w:rsidP="00CD18BC">
      <w:pPr>
        <w:pStyle w:val="1"/>
        <w:spacing w:before="0" w:beforeAutospacing="0" w:after="0" w:afterAutospacing="0"/>
        <w:rPr>
          <w:sz w:val="20"/>
          <w:szCs w:val="20"/>
        </w:rPr>
      </w:pPr>
      <w:r w:rsidRPr="00EA6A9D">
        <w:rPr>
          <w:sz w:val="20"/>
          <w:szCs w:val="20"/>
        </w:rPr>
        <w:t>У разі повернення пального постачальнику платник не зобов’язаний реєструватись платником акцизного податку, як особа яка реалізує пальне</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повідомляє, що особи, які здійснюватимуть реалізацію пального, підлягають обов’язковій реєстрації як платники податку контролюючими органами за місцезнаходженням юридичних осіб, постійних представництв, місцем проживання фізичних осіб – підприємців до початку здійснення реалізації пального.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Норми встановлені абзацом першим п. п. 212.3.4 п. 212.3 ст. 212 Податкового кодексу України (далі –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Згідно з п. 231.1 ст. 231 ПКУ платник податку при реалізації пального зобов’язаний скласти в електронній формі акцизну накладну за кожним кодом товарної підкатегорії згідно з УКТ ЗЕД реалізованого пального та зареєструвати в Єдиному реєстрі акцизних накладних (далі – ЄРАН) з дотриманням умови щодо реєстрації у порядку, визначеному законодавством, кваліфікованого електронного підпису уповноваженої платником особи.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Право на складання акцизних накладних надається виключно особам, зареєстрованим як платники акцизного податку в порядку, передбаченому ст. 212 ПКУ (п. 231.4 ст. 231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Особа, яка реалізує пальне будь-яким іншим особам – не платникам податку зобов’язана скласти акцизну накладну в одному примірнику (п. 231.2 ст. 231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Відповідно до п. 231.7 ст. 231 ПКУ якщо після реалізації пального відбувається повернення частини чи всього обсягу пального особі, яка реалізує пальне, або виникає потреба у виправленні помилок, допущених при складанні акцизної накладної, показники такої акцизної накладної підлягають коригуванню шляхом складання розрахунку коригування та реєстрації його в ЄРАН.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Складання розрахунків коригування здійснюється у такій самій кількості примірників, як і кількість примірників акцизної накладної, до якої вони складаються.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Розрахунок коригування, складений платником податку до акцизних накладних з реалізації пального або спирту етилового не платникам акцизного податку підлягає реєстрації у ЄРАН таким платником податку.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Отже, при поверненні пального постачальнику суб’єктом господарювання – неплатником акцизного податку такий суб’єкт господарювання не зобов’язаний реєструватися платником акцизного податку, як особа яка реалізує пальне.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48"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49"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0"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6326C" w:rsidRDefault="00B930CE"/>
    <w:p w:rsidR="00B930CE" w:rsidRPr="00EA6A9D" w:rsidRDefault="00B930CE" w:rsidP="00CD18BC">
      <w:pPr>
        <w:pStyle w:val="1"/>
        <w:spacing w:before="0" w:beforeAutospacing="0" w:after="0" w:afterAutospacing="0"/>
        <w:rPr>
          <w:sz w:val="20"/>
          <w:szCs w:val="20"/>
        </w:rPr>
      </w:pPr>
      <w:r w:rsidRPr="00EA6A9D">
        <w:rPr>
          <w:sz w:val="20"/>
          <w:szCs w:val="20"/>
        </w:rPr>
        <w:t>До якої дати платник сплачує орендну плату за земельні ділянки державної і комунальної власності у разі припинення або розірвання договору оренди?</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нагадує, що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Норми встановлені п. п. 14.1.147 п. 14.1 ст. 14 Податкового кодексу України (далі –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Орендна плата за земельні ділянки державної і комунальної власності – обов’язковий платіж, який орендар вносить орендодавцеві за користування земельною ділянкою (далі – орендна плата) (п. п. 14.1.136 п. 14.1 ст. 14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Пунктами 288.1 – 288.3 ст. 288 ПКУ передбачено, що підставою для нарахування орендної плати за земельну ділянку є договір оренди такої земельної ділянки.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Платником орендної плати є орендар земельної ділянки.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Об’єктом оподаткування є земельна ділянка, надана в оренду.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У разі припинення права користування земельною ділянкою плата за землю сплачується за фактичний період перебування землі у користуванні у поточному році (п. 287.1 ст. 287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Відносини, пов’язані з орендою землі, регулюються Земельним кодексом України від 25 жовтня 2001 року № 2768-III із змінами та доповненнями, Цивільним кодексом України від 16 січня 2003 року № 435-ІV зі змінами та доповненнями, Законом України від 06 жовтня 1998 року № 161-XIV «Про оренду землі» зі змінами та доповненнями (далі – Закон № 161), законами України, іншими нормативно-правовими актами, прийнятими відповідно до них, а також договором оренди землі.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Статтею 4 Закону № 161 визначено, що орендодавцями земельних ділянок, що перебувають у комунальній власності, є сільські, селищні, міські ради в межах повноважень, визначених законом.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Орендодавцями земельних ділянок, що перебувають у державній власності, є органи виконавчої влади, які відповідно до закону передають земельні ділянки у власність або користування.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Орендарями земельних ділянок є юридичні або фізичні особи, яким на підставі договору оренди належить право володіння і користування земельною ділянкою (ст. 5 Закону № 161).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Договір оренди землі – це договір, за яким орендодавець зобов’язаний за плату передати орендареві земельну ділянку у володіння і користування на певний строк, а орендар зобов’язаний використовувати земельну ділянку відповідно до умов договору та вимог земельного законодавства (ст. 13 Закону № 161).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Абзацом третім частини першої ст. 15 Закону № 161 передбачено, що істотними умовами договору оренди землі, зокрема, є дата укладення та строк дії договору оренди.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Об’єкт за договором оренди землі вважається переданим орендодавцем орендареві з моменту державної реєстрації права оренди, якщо інше не встановлено законом (ст. 17 Закону № 161).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У разі припинення або розірвання договору оренди землі орендар зобов’язаний повернути орендодавцеві земельну ділянку на умовах, визначених договором. Орендар не має права утримувати земельну ділянку для задоволення своїх вимог до орендодавця (частина перша ст. 34 Закону № 161).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Таким чином, у разі припинення або розірвання договору оренди земельної ділянки державної і комунальної власності суб’єкт господарювання (орендар) повертає орендодавцеві земельну ділянку на умовах, визначених договором, та сплачує орендну плату за фактичний період перебування землі у користуванні у поточному році, тобто до дати повернення земельної ділянки орендодавцю (відповідному органу виконавчої влади чи відповідній сільській, селищній, міській раді).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1"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2"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3"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6326C" w:rsidRDefault="00B930CE"/>
    <w:p w:rsidR="00B930CE" w:rsidRPr="00EA6A9D" w:rsidRDefault="00B930CE" w:rsidP="00CD18BC">
      <w:pPr>
        <w:pStyle w:val="1"/>
        <w:spacing w:before="0" w:beforeAutospacing="0" w:after="0" w:afterAutospacing="0"/>
        <w:rPr>
          <w:sz w:val="20"/>
          <w:szCs w:val="20"/>
        </w:rPr>
      </w:pPr>
      <w:r w:rsidRPr="00EA6A9D">
        <w:rPr>
          <w:sz w:val="20"/>
          <w:szCs w:val="20"/>
        </w:rPr>
        <w:t>До уваги юридичних осіб – платників податку на нерухомість!</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повідомляє, що платники податку на нерухоме майно, відмінне від земельної ділянки (далі – податок), – юрособи самостійно обчислюють суму податку станом на 1 січня звітного року і не пізніше 20 лютого цього ж року подають до контролюючого органу за місцезнаходженням об’єкта/об’єктів оподаткування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річної суми рівними частками поквартально.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Норми визначені п. п. 266.7.5 п. 266.7 ст. 266 Податкового кодексу України (далі – ПКУ).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Форма Декларації, затверджена наказом Міністерства фінансів України від 10.04.2015 № 408 (у редакції наказу Міністерства фінансів України від 15.11.2018 № 897), передбачає заповнення додатка 1 (для об’єктів житлової нерухомості) та додатка 2 (для об’єктів нежитлової нерухомості), які є її невід’ємною частиною.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Таблична частина декларації передбачає заповнення рядків 5.1 та/або 6.1, у яких вказується податкове зобов’язання з податку на нерухоме майно, відмінне від земельної ділянки, за податковий (звітний) період. </w:t>
      </w:r>
    </w:p>
    <w:p w:rsidR="00B930CE" w:rsidRPr="00EA6A9D" w:rsidRDefault="00B930CE" w:rsidP="00CD18BC">
      <w:pPr>
        <w:pStyle w:val="a4"/>
        <w:spacing w:before="0" w:beforeAutospacing="0" w:after="0" w:afterAutospacing="0"/>
        <w:jc w:val="both"/>
        <w:rPr>
          <w:sz w:val="20"/>
          <w:szCs w:val="20"/>
        </w:rPr>
      </w:pPr>
      <w:r w:rsidRPr="00EA6A9D">
        <w:rPr>
          <w:sz w:val="20"/>
          <w:szCs w:val="20"/>
        </w:rPr>
        <w:lastRenderedPageBreak/>
        <w:t xml:space="preserve">При цьому у рядку 5.1 «податкове зобов’язання за податковий (звітний) період, усього» табличної частини Декларації (далі – рядок 5.1 Декларації) зазначається сума податкового зобов’язання за житлову нерухомість, яке повинно відповідати значенню (сумі значень) колонки 20 «сума податкового зобов’язання до сплати, усього» рядка 3 розділу І «Розрахунок податкового зобов’язання» додатка 1 (додатків 1) до Декларації (далі – колонка 20 розділу І додатка 1).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У рядку 6.1 «податкове зобов’язання за податковий (звітний) період, усього» табличної частини Декларації (далі – рядок 6.1. Декларації) вказується значення (сума значень) колонки 19 «сума податкового зобов’язання за нежитлову нерухомість до сплати, усього» рядка 3 розділу І «Розрахунок податкового зобов’язання» додатка 2 (додатків 2) до Декларації (далі – колонка 19 розділу І додатка 2).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Рядки 5.1 та/або 6.1 табличної частини Декларації з типом «Уточнююча» заповнюються лише у випадку уточнення показників, які призводять до зміни значень колонки 20 розділу І додатка 1 та/або колонки 19 розділу І додатка 2. </w:t>
      </w:r>
    </w:p>
    <w:p w:rsidR="00B930CE" w:rsidRPr="00097F7D" w:rsidRDefault="00B930CE" w:rsidP="00CD18BC">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4"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5"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CD18BC">
      <w:pPr>
        <w:pStyle w:val="a4"/>
        <w:spacing w:before="0" w:beforeAutospacing="0" w:after="0" w:afterAutospacing="0"/>
        <w:jc w:val="both"/>
        <w:rPr>
          <w:sz w:val="20"/>
          <w:szCs w:val="20"/>
        </w:rPr>
      </w:pPr>
      <w:hyperlink r:id="rId56"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A6A9D" w:rsidRDefault="00B930CE" w:rsidP="00CD18BC">
      <w:pPr>
        <w:pStyle w:val="a4"/>
        <w:spacing w:before="0" w:beforeAutospacing="0" w:after="0" w:afterAutospacing="0"/>
        <w:jc w:val="both"/>
        <w:rPr>
          <w:sz w:val="20"/>
          <w:szCs w:val="20"/>
        </w:rPr>
      </w:pPr>
    </w:p>
    <w:p w:rsidR="00B930CE" w:rsidRPr="00EA6A9D" w:rsidRDefault="00B930CE" w:rsidP="00CD18BC">
      <w:pPr>
        <w:pStyle w:val="1"/>
        <w:spacing w:before="0" w:beforeAutospacing="0" w:after="0" w:afterAutospacing="0"/>
        <w:rPr>
          <w:sz w:val="20"/>
          <w:szCs w:val="20"/>
        </w:rPr>
      </w:pPr>
      <w:r w:rsidRPr="00EA6A9D">
        <w:rPr>
          <w:sz w:val="20"/>
          <w:szCs w:val="20"/>
        </w:rPr>
        <w:t>Начальник Головного управління ДПС у Дніпропетровській області Ганна Чуб: Земне тяжіння. Легалізація праці та декларування доходів аграріїв: перші кроки цивілізованого ринку</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Україна відома усьому світу як аграрна держава – це ні для кого не секрет. Ми – лідери не лише на європейському, а на світовому ринках сільськогосподарської продукції. Ось декілька відомих фактів. 70% усього земельного фонду країни складають сільськогосподарські угіддя. Кожен третій українець – сільський житель.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Разом з тим, майже третина з них офіційно не має роботи. Десятиліттями аграрна сфера була чи не найбільш «тіньовою» в економіці. Якщо брати до уваги, що у національному ВВП частка сільського господарства перевищує 11% (у номінальних показниках цього року – це понад 100 млрд грн), стає зрозумілим, яких втрат через «тінь» щороку зазнавала та зазнає держава і усі ми – як на загальнонаціональному, так і на регіональному рівнях.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Старт закону про відкриття ринку землі, що відбувся цього літа, повинен, звісно, стати кроком до детінізації – не лише самих операцій з землею, а й відносин між державою та суспільством у цій сфері. Це має бути одним з кроків до цивілізованого ринку.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Але головні кроки, на моє переконання, слід зробити самим громадянам, які працюють чи ведуть бізнес у аграрній сфері. Саме вони мають усвідомити, що отримані доходи слід вчасно декларувати, а праця найманих робітників (у тому числі сезонних) повинна бути легальною – як, власне, й в будь-якій іншій галузі.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На жаль, на сьогодні я б не стверджувала, що ця проблема всюди знаходить розуміння та відгук.  </w:t>
      </w:r>
    </w:p>
    <w:p w:rsidR="00B930CE" w:rsidRPr="00EA6A9D" w:rsidRDefault="00B930CE" w:rsidP="00CD18BC">
      <w:pPr>
        <w:pStyle w:val="a4"/>
        <w:spacing w:before="0" w:beforeAutospacing="0" w:after="0" w:afterAutospacing="0"/>
        <w:jc w:val="both"/>
        <w:rPr>
          <w:sz w:val="20"/>
          <w:szCs w:val="20"/>
        </w:rPr>
      </w:pPr>
      <w:r w:rsidRPr="00EA6A9D">
        <w:rPr>
          <w:rStyle w:val="a5"/>
          <w:sz w:val="20"/>
          <w:szCs w:val="20"/>
        </w:rPr>
        <w:t>Польові заручники «конвертів»</w:t>
      </w:r>
      <w:r w:rsidRPr="00EA6A9D">
        <w:rPr>
          <w:sz w:val="20"/>
          <w:szCs w:val="20"/>
        </w:rPr>
        <w:t xml:space="preserve">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Завершується черговий сезон польових робіт, у розпалі – новий маркетинговий рік. І знову – часто-густо – традиційна картина: тисячі найманих робітників, яких було залучено на сезонні роботи, працюють як невидимки й отримують зарплатню у «конвертах». А відтак – повністю залежать не від власної кваліфікації чи вимог ринку – а від свого роботодавця, його фінансового стану, настрою тощо. По суті, люди, що погоджуються на важку невдячну працю, зазвичай – у складних умовах, понаднормово,– позбавлені будь-якого соціального захисту, не мають законних підстав відстоювати свої права. Водночас – порушують законодавство, адже – як ми вже говорили вище – державний бюджет (а по суті – кожен громадянин, платник податків) через такі шахрайські дії втрачає суттєві суми.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Разом з тим, у правовому полі є чітке визначення сезонної праці, і воно врегульоване таким чином, щоб кожен робітник був захищений та мав гарантії дотримання його прав з боку роботодавця.  </w:t>
      </w:r>
    </w:p>
    <w:p w:rsidR="00B930CE" w:rsidRPr="00EA6A9D" w:rsidRDefault="00B930CE" w:rsidP="00CD18BC">
      <w:pPr>
        <w:pStyle w:val="a4"/>
        <w:spacing w:before="0" w:beforeAutospacing="0" w:after="0" w:afterAutospacing="0"/>
        <w:jc w:val="both"/>
        <w:rPr>
          <w:sz w:val="20"/>
          <w:szCs w:val="20"/>
        </w:rPr>
      </w:pPr>
      <w:r w:rsidRPr="00EA6A9D">
        <w:rPr>
          <w:rStyle w:val="a5"/>
          <w:sz w:val="20"/>
          <w:szCs w:val="20"/>
        </w:rPr>
        <w:t>Сезонна праця: деталі</w:t>
      </w:r>
      <w:r w:rsidRPr="00EA6A9D">
        <w:rPr>
          <w:sz w:val="20"/>
          <w:szCs w:val="20"/>
        </w:rPr>
        <w:t xml:space="preserve">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Почну з визначення. Сезонними вважаються працівники, які приймаються на роботи, що в силу природних чи кліматичних умов виконуються не цілий рік, а протягом певного періоду (сезону). Він не може бути довшим за 6 місяців. Є затверджений Кабміном список сезонних робіт та сезонних галузей (постанова КМУ від 28 березня 1997 року № 278 із змінами).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Зазначу, що у списку не вказуються конкретні професії чи посади сезонних робітників, не деталізуються й самі роботи. Ця конкретика зазвичай розкривається у колективному договорі чи іншому документі. Як і тривалість та умови конкретних робіт.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Трудові договори з сезонними працівниками є строковими, оскільки вони укладаються на період виконання певної роботи чи на визначений термін, що встановлюється за згодою сторін (згідно зі статтею 23 Кодексу законів про працю України). Зрозуміло, що такі трудові договори укладаються не довше, ніж на півроку.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При оформленні трудових відносин із сезонним працівником роботодавець зобов’язаний попередити про сезонний характер роботи. Про це має бути зазначено також в заяві працівника про прийняття на роботу та у відповідному наказі (розпорядженні). В іншому випадку буде вважатись, що працівника прийняли (та уклали з ним договір) на невизначений строк. </w:t>
      </w:r>
    </w:p>
    <w:p w:rsidR="00B930CE" w:rsidRPr="00EA6A9D" w:rsidRDefault="00B930CE" w:rsidP="00CD18BC">
      <w:pPr>
        <w:pStyle w:val="a4"/>
        <w:spacing w:before="0" w:beforeAutospacing="0" w:after="0" w:afterAutospacing="0"/>
        <w:jc w:val="both"/>
        <w:rPr>
          <w:sz w:val="20"/>
          <w:szCs w:val="20"/>
        </w:rPr>
      </w:pPr>
      <w:r w:rsidRPr="00EA6A9D">
        <w:rPr>
          <w:sz w:val="20"/>
          <w:szCs w:val="20"/>
        </w:rPr>
        <w:lastRenderedPageBreak/>
        <w:t xml:space="preserve">Усі наймані працівники, які підписали письмовий трудовий договір (контракт) і виконували сезонну роботу один день і більше, включаються до списку штатних. Тобто, посади сезонних працівників мають бути у штатному розписі. На тимчасових та сезонних працівників поширюються форми, норми та системи оплати праці, розцінки, тарифні сітки,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що діють на підприємстві. Тобто, оплата за виконану працівником місячну, а також погодинну норму праці має проводитись у обсягах, що не нижче мінімальної заробітної плати. Крім того, сезонні працівники мають право на оплату відпусток, тимчасової непрацездатності. Вони підлягають загальнообов’язковому державному соціальному страхуванню. Відповідно – нарівні з усіма іншими працівниками мають право на оплату лікарняного. Їм також надаються гарантії та компенсації у зв’язку зі службовими відрядженнями.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Важливий момент: якщо після закінчення строку договору – у тому числі, сезонного – трудові відносини тривають, договір автоматично перетворюється зі строкового у, по суті, безстроковий – подовжений на невизначений термін. Працівник отримує статус постійного.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Наголошую: найманий працівник не може бути допущений до роботи не лише без укладання трудового договору, оформленого наказом чи розпорядженням, а й без подання повідомлення до територіальних органів Державної податкової служби.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Нагадаю, таке повідомлення подається власником підприємства чи фізособою за місцем обліку їх як платника єдиного внеску до початку роботи працівника – у різний спосіб: на паперових носіях разом з копією в електронній формі, або ж просто на паперових носіях (якщо трудові договори укладено не більш, ніж з п’ятьма особами), а також – засобами електронного зв’язку з використанням кваліфікованого електронного підпису. </w:t>
      </w:r>
    </w:p>
    <w:p w:rsidR="00B930CE" w:rsidRPr="00EA6A9D" w:rsidRDefault="00B930CE" w:rsidP="00CD18BC">
      <w:pPr>
        <w:pStyle w:val="a4"/>
        <w:spacing w:before="0" w:beforeAutospacing="0" w:after="0" w:afterAutospacing="0"/>
        <w:jc w:val="both"/>
        <w:rPr>
          <w:sz w:val="20"/>
          <w:szCs w:val="20"/>
        </w:rPr>
      </w:pPr>
      <w:r w:rsidRPr="00EA6A9D">
        <w:rPr>
          <w:sz w:val="20"/>
          <w:szCs w:val="20"/>
        </w:rPr>
        <w:t xml:space="preserve">Думаю, доречно нагадати, що податкова розробила спеціалізоване клієнтське програмне забезпечення (ПЗ), яке дозволяє, не підводячись з-за столу, сформувати повідомлення про прийняття працівника на роботу, накласти електронний підпис та скерувати до Єдиного вікна податкової звітності. Це ПЗ можна безоплатно отримати </w:t>
      </w:r>
      <w:hyperlink r:id="rId57" w:history="1">
        <w:r w:rsidRPr="00EA6A9D">
          <w:rPr>
            <w:rStyle w:val="a3"/>
            <w:sz w:val="20"/>
            <w:szCs w:val="20"/>
          </w:rPr>
          <w:t>на офіційному вебпорталі ДПС</w:t>
        </w:r>
      </w:hyperlink>
      <w:r w:rsidRPr="00EA6A9D">
        <w:rPr>
          <w:sz w:val="20"/>
          <w:szCs w:val="20"/>
        </w:rPr>
        <w:t xml:space="preserve">. </w:t>
      </w:r>
    </w:p>
    <w:p w:rsidR="00B930CE" w:rsidRPr="00E6326C" w:rsidRDefault="00B930CE"/>
    <w:p w:rsidR="00B930CE" w:rsidRPr="00EA6A9D" w:rsidRDefault="00B930CE" w:rsidP="00097F7D">
      <w:pPr>
        <w:pStyle w:val="1"/>
        <w:spacing w:before="0" w:beforeAutospacing="0" w:after="0" w:afterAutospacing="0"/>
        <w:rPr>
          <w:sz w:val="20"/>
          <w:szCs w:val="20"/>
        </w:rPr>
      </w:pPr>
      <w:r w:rsidRPr="00EA6A9D">
        <w:rPr>
          <w:sz w:val="20"/>
          <w:szCs w:val="20"/>
        </w:rPr>
        <w:t>Яке майно ФОП не може бути використане як джерело погашення податкового боргу?</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доводить до відома, що не можуть бути використані як джерела погашення податкового боргу платника податків: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майно платника податків, надане ним у заставу іншим особам (на час дії такої застави), якщо така застава зареєстрована згідно із законом у відповідних державних реєстрах до моменту виникнення права податкової застави;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майно, яке належить на правах власності іншим особам та перебуває у володінні або користуванні платника податків, у тому числі (але не виключно) майно, передане платнику податків у лізинг, оренду, схов (відповідальне зберігання), ломбардний схов, на комісію (консигнацію); давальницька сировина, надана підприємству для переробки, крім її частини, що надається платнику податків як оплата за такі послуги, а також майно інших осіб, прийняті платником податків у заставу чи заклад, довірче та будь-які інші види агентського управління;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майнові права інших осіб, надані платнику податків у користування або володіння, а також немайнові права, у тому числі права інтелектуальної (промислової) власності, передані в користування такому платнику податків без права їх відчуження;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кошти кредитів або позик, наданих платнику податків кредитно-фінансовою установою, що обліковуються на позичкових рахунках, відкритих такому платнику податків, суми акредитивів, що виставлені на ім’я платника податків, але не відкриті, суми авансових платежів;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майно, вільний обіг якого заборонено згідно із законодавством України;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майно, що не може бути предметом застави відповідно до Закону України «Про заставу»;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кошти інших осіб, надані платнику податків у вклад (депозит) або довірче управління, а також власні кошти юридичної особи (фізичної особи – підприємця), що використовуються для виплат заборгованості з основної заробітної плати за фактично відпрацьований час фізичним особам, які перебувають у трудових відносинах з такою юридичною особою.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Норми встановлені п. 87.3 ст. 87 Податкового кодексу України. </w:t>
      </w:r>
    </w:p>
    <w:p w:rsidR="00B930CE" w:rsidRPr="00097F7D" w:rsidRDefault="00B930CE" w:rsidP="00097F7D">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58"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59"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0"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6326C" w:rsidRDefault="00B930CE"/>
    <w:p w:rsidR="00B930CE" w:rsidRPr="00E6326C" w:rsidRDefault="00B930CE" w:rsidP="00097F7D">
      <w:pPr>
        <w:pStyle w:val="1"/>
        <w:spacing w:before="0" w:beforeAutospacing="0" w:after="0" w:afterAutospacing="0"/>
        <w:rPr>
          <w:sz w:val="20"/>
          <w:szCs w:val="20"/>
        </w:rPr>
      </w:pPr>
      <w:r w:rsidRPr="00EA6A9D">
        <w:rPr>
          <w:sz w:val="20"/>
          <w:szCs w:val="20"/>
        </w:rPr>
        <w:t>Застосування</w:t>
      </w:r>
      <w:r w:rsidRPr="00E6326C">
        <w:rPr>
          <w:sz w:val="20"/>
          <w:szCs w:val="20"/>
        </w:rPr>
        <w:t xml:space="preserve"> </w:t>
      </w:r>
      <w:r w:rsidRPr="00EA6A9D">
        <w:rPr>
          <w:sz w:val="20"/>
          <w:szCs w:val="20"/>
        </w:rPr>
        <w:t>коефіцієнта</w:t>
      </w:r>
      <w:r w:rsidRPr="00E6326C">
        <w:rPr>
          <w:sz w:val="20"/>
          <w:szCs w:val="20"/>
        </w:rPr>
        <w:t xml:space="preserve"> </w:t>
      </w:r>
      <w:r w:rsidRPr="00EA6A9D">
        <w:rPr>
          <w:sz w:val="20"/>
          <w:szCs w:val="20"/>
        </w:rPr>
        <w:t>індексації</w:t>
      </w:r>
      <w:r w:rsidRPr="00E6326C">
        <w:rPr>
          <w:sz w:val="20"/>
          <w:szCs w:val="20"/>
        </w:rPr>
        <w:t xml:space="preserve"> </w:t>
      </w:r>
      <w:r w:rsidRPr="00EA6A9D">
        <w:rPr>
          <w:sz w:val="20"/>
          <w:szCs w:val="20"/>
        </w:rPr>
        <w:t>нормативної</w:t>
      </w:r>
      <w:r w:rsidRPr="00E6326C">
        <w:rPr>
          <w:sz w:val="20"/>
          <w:szCs w:val="20"/>
        </w:rPr>
        <w:t xml:space="preserve"> </w:t>
      </w:r>
      <w:r w:rsidRPr="00EA6A9D">
        <w:rPr>
          <w:sz w:val="20"/>
          <w:szCs w:val="20"/>
        </w:rPr>
        <w:t>грошової</w:t>
      </w:r>
      <w:r w:rsidRPr="00E6326C">
        <w:rPr>
          <w:sz w:val="20"/>
          <w:szCs w:val="20"/>
        </w:rPr>
        <w:t xml:space="preserve"> </w:t>
      </w:r>
      <w:r w:rsidRPr="00EA6A9D">
        <w:rPr>
          <w:sz w:val="20"/>
          <w:szCs w:val="20"/>
        </w:rPr>
        <w:t>оцінки</w:t>
      </w:r>
      <w:r w:rsidRPr="00E6326C">
        <w:rPr>
          <w:sz w:val="20"/>
          <w:szCs w:val="20"/>
        </w:rPr>
        <w:t xml:space="preserve"> </w:t>
      </w:r>
      <w:r w:rsidRPr="00EA6A9D">
        <w:rPr>
          <w:sz w:val="20"/>
          <w:szCs w:val="20"/>
        </w:rPr>
        <w:t>земель</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нагадує, що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Норми встановлені п. п. 14.1.147 п. 14.1 ст. 14 Податкового кодексу України (далі –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lastRenderedPageBreak/>
        <w:t xml:space="preserve">Базою оподаткування є нормативна грошова оцінка земельних ділянок з урахуванням коефіцієнта індексації, визначеного відповідно до порядку, встановленого розділу XIІ ПКУ (п. п. 271.1.1 п. 271.1 ст. 271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Розмір орендної плати встановлюється у договорі оренди, але річна сума платежу: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не може бути меншою за розмір земельного податку: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земельних ділянок, нормативну грошову оцінку яких проведено, – у розмірі не більше 3 відс. їх нормативної грошової оцінки, для земель загального користування – не більше 1 відс. їх нормативної грошової оцінки, для сільськогосподарських угідь – не менше 0,3 відс. та не більше 1 відс. їх нормативної грошової оцінки;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земельних ділянок, нормативну грошову оцінку яких не проведено, – у розмірі не більше 5 відс. нормативної грошової оцінки одиниці площі ріллі по Автономній Республіці Крим або по області, для сільськогосподарських угідь – не менше 0,3 відс. та не більше 5 відс. нормативної грошової оцінки одиниці площі ріллі по Автономній Республіці Крим або по області (п. п. 288.5.1 п. 288.5 ст. 288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не може перевищувати 12 відс. нормативної грошової оцінки (п. п. 288.5.2 п. 288.5 ст. 288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може перевищувати граничний розмір орендної плати, встановлений у п. п. 288.5.2 п. 288.5 ст. 288 ПКУ, у разі визначення орендаря на конкурентних засадах (п. п. 288.5.3 п. 288.5 ст. 288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пасовищ у населених пунктах, яким надано статус гірських, не може перевищувати розміру земельного податку (п. п. 288.5.4 п. 288.5 ст. 288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баз олімпійської, паралімпійської та дефлімпійської підготовки, перелік яких затверджується Кабінетом Міністрів України, не може перевищувати 0,1 відс. нормативної грошової оцінки (п. п. 288.5.5 п. 288.5 ст. 288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Для визначення розміру земельного податку та орендної плати використовується нормативна грошова оцінка земельних ділянок з урахуванням коефіцієнта індексації, визначеного відповідно до законодавства (абзац перший п. 289.1 ст. 289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Абзацом першим і п’ятим п. 289.2 ст. 289 ПКУ визначено, центральний орган виконавчої влади, що реалізує державну політику у сфері земельних відносин, за індексом споживчих цін за попередній рік щороку розраховує величину коефіцієнта індексації нормативної грошової оцінки земель, на який індексується нормативна грошова оцінка земель і земельних ділянок на 01 січня поточного року.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Коефіцієнт індексації нормативної грошової оцінки земель застосовується кумулятивно залежно від дати проведення нормативної грошової оцінки земель, зазначеної в технічній документації з нормативної грошової оцінки земель та земельних ділянок. </w:t>
      </w:r>
    </w:p>
    <w:p w:rsidR="00B930CE" w:rsidRPr="00097F7D" w:rsidRDefault="00B930CE" w:rsidP="00097F7D">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1"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2"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3"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6326C" w:rsidRDefault="00B930CE"/>
    <w:p w:rsidR="00B930CE" w:rsidRPr="00EA6A9D" w:rsidRDefault="00B930CE" w:rsidP="00097F7D">
      <w:pPr>
        <w:pStyle w:val="1"/>
        <w:spacing w:before="0" w:beforeAutospacing="0" w:after="0" w:afterAutospacing="0"/>
        <w:rPr>
          <w:sz w:val="20"/>
          <w:szCs w:val="20"/>
        </w:rPr>
      </w:pPr>
      <w:r w:rsidRPr="00EA6A9D">
        <w:rPr>
          <w:sz w:val="20"/>
          <w:szCs w:val="20"/>
        </w:rPr>
        <w:t xml:space="preserve">ФОП – «спрощенець» не включає до осіб, що перебувають з ним у трудових відносинах, працівників, які виконують роботи за договорами підряду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нагадує, що однією з умов застосування спрощеної системи оподаткування для фізичної особи – підприємця (ФОП) є: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платників єдиного податку першої групи – не використання праці найманих осіб;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платників єдиного податку другої групи – не використання праці найманих осіб або кількість осіб, які перебувають з ними у трудових відносинах, одночасно не перевищує 10 осіб;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платників єдиного податку третьої групи – не використання праці найманих осіб або кількість осіб, які перебувають з ними у трудових відносинах, не обмежена;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для платників єдиного податку четвертої групи (сільськогосподарські товаровиробники) – не використання праці найманих осіб. Членами фермерського господарства такої фізичної особи є лише члени її сім’ї у визначенні частини другої ст. 3 Сімейного кодексу України від 10 січня 2002 року № 2947-ІІІ зі змінами та доповненнями.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Норми встановлені п. 291.4 ст. 291 Податкового кодексу України (далі –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У разі перевищення чисельності фізичних осіб, які перебувають у трудових відносинах з платником єдиного податку, такі платники єдиного податку зобов’язані з першого числа місяця, наступного за податковим (звітним) періодом, у якому допущено таке перевищення, перейти на сплату інших податків і зборів   (п. п. 6 п. п. 298.2.3 п. 298.2 ст. 298 ПКУ).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Статтею 46 Господарського кодексу України від 16 січня 2003 року № 436-IV зі змінами та доповненнями передбачено, що підприємці мають право укладати з громадянами договори щодо використання їх праці.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Договори з громадянами на використання їх праці укладаються за трудовими або цивільно-правовими договорами.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Згідно з абзацом першим ст. 21 Кодексу законів про працю України від 10 грудня 1971 року № 322-VIII зі змінами та доповненнями трудовим договором є угода між працівником і власником підприємства, установи, організації або уповноваженим ним органом чи фізичною особою, за якою працівник зобов’язується виконувати роботу, визначену цією угодою, а власник підприємства, установи, організації або уповноважений ним орган чи фізична особа зобов’язується виплачувати працівникові заробітну плату і </w:t>
      </w:r>
      <w:r w:rsidRPr="00EA6A9D">
        <w:rPr>
          <w:sz w:val="20"/>
          <w:szCs w:val="20"/>
        </w:rPr>
        <w:lastRenderedPageBreak/>
        <w:t xml:space="preserve">забезпечувати умови праці, необхідні для виконання роботи, передбачені законодавством про працю, колективним договором і угодою сторін.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Відповідно до частини першої ст. 626 Цивільного кодексу України від 16 січня 2003 року № 435-IV зі змінами та доповненнями (далі – ЦКУ) договором є домовленість двох або більше сторін, спрямована на встановлення, зміну або припинення цивільних прав та обов’язків.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Цивільно-правовий договір (договір підряду, доручення тощо) – це угода між громадянином і підприємством або підприємцем, предметом якої є виконання фізичною особою певної роботи, спрямованої на досягнення конкретного результату.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За договором підряду одна сторона (підрядник) зобов’язується на свій ризик виконати певну роботу за завданням другої сторони (замовника), а замовник зобов’язується прийняти та оплатити виконану роботу (частина перша ст. 837 ЦКУ).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Тобто за договорами підряду оплачується не процес праці, а його конкретний (кінцевий) результат, який визначається після закінчення роботи і оформляється актом приймання-передачі виконаних робіт (наданих послуг), на підставі яких і здійснюється виплата винагороди.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Враховуючи зазначене, якщо ФОП – платник єдиного податку укладає договір, який передбачає оплату процесу праці, тобто містить ознаки трудового договору, то такий платник єдиного податку враховує працівників, яких залучає за таким договором, до загальної кількості осіб, що перебувають з ним в трудових відносинах.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Якщо укладений договір відповідає нормам договору підряду, то ФОП – платник єдиного податку не враховує працівників, яких залучає за таким договором, до загальної кількості осіб, що перебувають з ним в трудових відносинах. </w:t>
      </w:r>
    </w:p>
    <w:p w:rsidR="00B930CE" w:rsidRPr="00097F7D" w:rsidRDefault="00B930CE" w:rsidP="00097F7D">
      <w:pPr>
        <w:pStyle w:val="a4"/>
        <w:spacing w:before="0" w:beforeAutospacing="0" w:after="0" w:afterAutospacing="0"/>
        <w:jc w:val="both"/>
        <w:rPr>
          <w:b/>
          <w:sz w:val="20"/>
          <w:szCs w:val="20"/>
        </w:rPr>
      </w:pPr>
      <w:r w:rsidRPr="00097F7D">
        <w:rPr>
          <w:rStyle w:val="a5"/>
          <w:b w:val="0"/>
          <w:i/>
          <w:iCs/>
          <w:sz w:val="20"/>
          <w:szCs w:val="20"/>
        </w:rPr>
        <w:t>Ми в інтернет-просторі, приєднуйтесь!</w:t>
      </w:r>
      <w:r w:rsidRPr="00097F7D">
        <w:rPr>
          <w:b/>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4" w:history="1">
        <w:r w:rsidR="00B930CE" w:rsidRPr="00EA6A9D">
          <w:rPr>
            <w:rStyle w:val="a3"/>
            <w:sz w:val="20"/>
            <w:szCs w:val="20"/>
          </w:rPr>
          <w:t>https://dp.tax.gov.ua/</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5" w:history="1">
        <w:r w:rsidR="00B930CE" w:rsidRPr="00EA6A9D">
          <w:rPr>
            <w:rStyle w:val="a3"/>
            <w:sz w:val="20"/>
            <w:szCs w:val="20"/>
          </w:rPr>
          <w:t>https://www.facebook.com/tax.dnipropetrovsk/</w:t>
        </w:r>
      </w:hyperlink>
      <w:r w:rsidR="00B930CE" w:rsidRPr="00EA6A9D">
        <w:rPr>
          <w:sz w:val="20"/>
          <w:szCs w:val="20"/>
        </w:rPr>
        <w:t xml:space="preserve">; </w:t>
      </w:r>
    </w:p>
    <w:p w:rsidR="00B930CE" w:rsidRPr="00EA6A9D" w:rsidRDefault="006B0DA8" w:rsidP="00097F7D">
      <w:pPr>
        <w:pStyle w:val="a4"/>
        <w:spacing w:before="0" w:beforeAutospacing="0" w:after="0" w:afterAutospacing="0"/>
        <w:jc w:val="both"/>
        <w:rPr>
          <w:sz w:val="20"/>
          <w:szCs w:val="20"/>
        </w:rPr>
      </w:pPr>
      <w:hyperlink r:id="rId66" w:history="1">
        <w:r w:rsidR="00B930CE" w:rsidRPr="00EA6A9D">
          <w:rPr>
            <w:rStyle w:val="a3"/>
            <w:sz w:val="20"/>
            <w:szCs w:val="20"/>
          </w:rPr>
          <w:t>https://www.youtube.com/channel/UCIxijADr1NbFo5dhZ3mQwVA</w:t>
        </w:r>
      </w:hyperlink>
      <w:r w:rsidR="00B930CE" w:rsidRPr="00EA6A9D">
        <w:rPr>
          <w:sz w:val="20"/>
          <w:szCs w:val="20"/>
        </w:rPr>
        <w:t xml:space="preserve"> </w:t>
      </w:r>
    </w:p>
    <w:p w:rsidR="00B930CE" w:rsidRPr="00E6326C" w:rsidRDefault="00B930CE"/>
    <w:p w:rsidR="00B930CE" w:rsidRPr="00EA6A9D" w:rsidRDefault="00B930CE" w:rsidP="00097F7D">
      <w:pPr>
        <w:pStyle w:val="1"/>
        <w:spacing w:before="0" w:beforeAutospacing="0" w:after="0" w:afterAutospacing="0"/>
        <w:rPr>
          <w:sz w:val="20"/>
          <w:szCs w:val="20"/>
        </w:rPr>
      </w:pPr>
      <w:r w:rsidRPr="00EA6A9D">
        <w:rPr>
          <w:sz w:val="20"/>
          <w:szCs w:val="20"/>
        </w:rPr>
        <w:t>Платники Дніпропетровщини отримали 11 183 ліцензій на виробництво, зберігання, оптову, роздрібну торгівлю підакцизними товарами</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У Дніпропетровській області станом на 01.09.2021 видано 11 183 ліцензії на виробництво, оптову, роздрібну торгівлю алкогольними напоями та тютюновими виробами, рідинами, що використовуються в електронних сигаретах, пальним та зберігання пального, серед яких: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- 10 577 ліцензій на право роздрібної торгівлі алкогольними  напоями та тютюновими виробами, рідинами, що використовуються в електронних сигаретах, у тому числі: 5781 - алкогольні напої, 4788 - тютюнові вироби, 8- рідинами, що використовуються в електронних сигаретах;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- 326 ліцензій на зберігання пального;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- 199 ліцензій на право роздрібної торгівлі пальним;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- 50 ліцензій на право оптової торгівлі пальним;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- 30 ліцензій на право оптової торгівлі алкогольними напоями та тютюновими виробами, рідинами, що використовуються в електронних сигаретах, у тому числі: 20 - алкогольні напої, 4 – тютюнові вироби, 6 - рідини, що використовуються в електронних сигаретах; </w:t>
      </w:r>
    </w:p>
    <w:p w:rsidR="00B930CE" w:rsidRPr="00EA6A9D" w:rsidRDefault="00B930CE" w:rsidP="00097F7D">
      <w:pPr>
        <w:pStyle w:val="a4"/>
        <w:spacing w:before="0" w:beforeAutospacing="0" w:after="0" w:afterAutospacing="0"/>
        <w:jc w:val="both"/>
        <w:rPr>
          <w:sz w:val="20"/>
          <w:szCs w:val="20"/>
        </w:rPr>
      </w:pPr>
      <w:r w:rsidRPr="00EA6A9D">
        <w:rPr>
          <w:sz w:val="20"/>
          <w:szCs w:val="20"/>
        </w:rPr>
        <w:t xml:space="preserve">- 1 ліцензія на виробництво алкогольних напоїв. </w:t>
      </w:r>
    </w:p>
    <w:p w:rsidR="00B930CE" w:rsidRPr="00E6326C" w:rsidRDefault="00B930CE"/>
    <w:p w:rsidR="00B930CE" w:rsidRPr="00E6326C" w:rsidRDefault="00B930CE" w:rsidP="00FA57AE">
      <w:pPr>
        <w:pStyle w:val="1"/>
        <w:spacing w:before="0" w:beforeAutospacing="0" w:after="0" w:afterAutospacing="0"/>
        <w:rPr>
          <w:sz w:val="20"/>
          <w:szCs w:val="20"/>
        </w:rPr>
      </w:pPr>
      <w:r w:rsidRPr="00EA6A9D">
        <w:rPr>
          <w:sz w:val="20"/>
          <w:szCs w:val="20"/>
        </w:rPr>
        <w:t>Євген</w:t>
      </w:r>
      <w:r w:rsidRPr="00E6326C">
        <w:rPr>
          <w:sz w:val="20"/>
          <w:szCs w:val="20"/>
        </w:rPr>
        <w:t xml:space="preserve"> </w:t>
      </w:r>
      <w:r w:rsidRPr="00EA6A9D">
        <w:rPr>
          <w:sz w:val="20"/>
          <w:szCs w:val="20"/>
        </w:rPr>
        <w:t>Олейніков</w:t>
      </w:r>
      <w:r w:rsidRPr="00E6326C">
        <w:rPr>
          <w:sz w:val="20"/>
          <w:szCs w:val="20"/>
        </w:rPr>
        <w:t xml:space="preserve">: </w:t>
      </w:r>
      <w:r w:rsidRPr="00EA6A9D">
        <w:rPr>
          <w:sz w:val="20"/>
          <w:szCs w:val="20"/>
        </w:rPr>
        <w:t>Для</w:t>
      </w:r>
      <w:r w:rsidRPr="00E6326C">
        <w:rPr>
          <w:sz w:val="20"/>
          <w:szCs w:val="20"/>
        </w:rPr>
        <w:t xml:space="preserve"> </w:t>
      </w:r>
      <w:r w:rsidRPr="00EA6A9D">
        <w:rPr>
          <w:sz w:val="20"/>
          <w:szCs w:val="20"/>
        </w:rPr>
        <w:t>ДПС</w:t>
      </w:r>
      <w:r w:rsidRPr="00E6326C">
        <w:rPr>
          <w:sz w:val="20"/>
          <w:szCs w:val="20"/>
        </w:rPr>
        <w:t xml:space="preserve"> </w:t>
      </w:r>
      <w:r w:rsidRPr="00EA6A9D">
        <w:rPr>
          <w:sz w:val="20"/>
          <w:szCs w:val="20"/>
        </w:rPr>
        <w:t>важливі</w:t>
      </w:r>
      <w:r w:rsidRPr="00E6326C">
        <w:rPr>
          <w:sz w:val="20"/>
          <w:szCs w:val="20"/>
        </w:rPr>
        <w:t xml:space="preserve"> </w:t>
      </w:r>
      <w:r w:rsidRPr="00EA6A9D">
        <w:rPr>
          <w:sz w:val="20"/>
          <w:szCs w:val="20"/>
        </w:rPr>
        <w:t>системні</w:t>
      </w:r>
      <w:r w:rsidRPr="00E6326C">
        <w:rPr>
          <w:sz w:val="20"/>
          <w:szCs w:val="20"/>
        </w:rPr>
        <w:t xml:space="preserve"> </w:t>
      </w:r>
      <w:r w:rsidRPr="00EA6A9D">
        <w:rPr>
          <w:sz w:val="20"/>
          <w:szCs w:val="20"/>
        </w:rPr>
        <w:t>комунікації</w:t>
      </w:r>
      <w:r w:rsidRPr="00E6326C">
        <w:rPr>
          <w:sz w:val="20"/>
          <w:szCs w:val="20"/>
        </w:rPr>
        <w:t xml:space="preserve"> </w:t>
      </w:r>
      <w:r w:rsidRPr="00EA6A9D">
        <w:rPr>
          <w:sz w:val="20"/>
          <w:szCs w:val="20"/>
        </w:rPr>
        <w:t>з</w:t>
      </w:r>
      <w:r w:rsidRPr="00E6326C">
        <w:rPr>
          <w:sz w:val="20"/>
          <w:szCs w:val="20"/>
        </w:rPr>
        <w:t xml:space="preserve"> </w:t>
      </w:r>
      <w:r w:rsidRPr="00EA6A9D">
        <w:rPr>
          <w:sz w:val="20"/>
          <w:szCs w:val="20"/>
        </w:rPr>
        <w:t>бізнесом</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Державна податкова служба України зацікавлена в оперативній комунікації з бізнесом. Саме тому такий інструмент взаємодії як Комунікаційна податкова платформа дає змогу платникам податків  вирішувати проблемні питання в діалозі з податковою. Про це заявив в. о. Голови ДПС Євген Олейніков під час зустрічі з представниками Американської торговельної палати в Україні (АСС).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«Ми продовжуємо політику відкритості та прозорості у своїй діяльності. Саме тому акцент зроблено на комунікаціях з бізнесом, адже якщо вчасно отримати інформацію, то є можливість оперативно вирішити питання. Проблему простіше вирішити на момент її виникнення, ніж потім розбирати її наслідки», – зазначив Євген Олейніков.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Під час зустрічі учасники розглянули питання відшкодування ПДВ. Зокрема, за словами в. о. Голови ДПС, на сьогодні ця процедура прозора і платники вчасно отримують кошти, перевірки проводяться лише у разі виявлення системою підозрілих операцій, реальність яких потребує підтвердження.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«Ми здійснюємо перевірки лише у випадках, коли необхідно пересвідчитися, що дані податкових накладних у податкових деклараціях відповідають фактичному стану справ. ДПС не може і не буде ігнорувати ризики ухилення від оподаткування. Спірні моменти ми намагаємося вирішити завдяки інструментам комунікації, розглядаючи аргументи платників, аналізуємо всі деталі», – наголосив Євген Олейніков.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Під час зустрічі учасники також обговорили питання проведення зустрічних звірок, законодавчих змін в частині адміністрування податків, зборів, платежів тощо.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  </w:t>
      </w:r>
    </w:p>
    <w:p w:rsidR="00B930CE" w:rsidRPr="00FA57AE" w:rsidRDefault="00B930CE"/>
    <w:p w:rsidR="00B930CE" w:rsidRPr="00EA6A9D" w:rsidRDefault="00B930CE" w:rsidP="00FA57AE">
      <w:pPr>
        <w:pStyle w:val="1"/>
        <w:spacing w:before="0" w:beforeAutospacing="0" w:after="0" w:afterAutospacing="0"/>
        <w:rPr>
          <w:sz w:val="20"/>
          <w:szCs w:val="20"/>
        </w:rPr>
      </w:pPr>
      <w:r w:rsidRPr="00EA6A9D">
        <w:rPr>
          <w:sz w:val="20"/>
          <w:szCs w:val="20"/>
        </w:rPr>
        <w:lastRenderedPageBreak/>
        <w:t>Шановні платники податків, які використовують єдиний рахунок для сплати податків, зборів та єдиного внеску на загальнообов’язкове державне соціальне страхування</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Головне управління ДПС у Дніпропетровській області звертає увагу що в режимі «Єдина картка платника» пункту меню «Єдиний рахунок» ІТС «Електронний кабінет» платникам надана можливість в актуальному стані переглянути інформацію про рух коштів на єдиному рахунку для сплати грошових зобов’язань та/або податкового боргу з податків, зборів, інших платежів та єдиного внеску на загальнообов’язкове державне соціальне страхування. </w:t>
      </w:r>
    </w:p>
    <w:p w:rsidR="00B930CE" w:rsidRPr="00EA6A9D" w:rsidRDefault="00B930CE" w:rsidP="00FA57AE">
      <w:pPr>
        <w:pStyle w:val="a4"/>
        <w:spacing w:before="0" w:beforeAutospacing="0" w:after="0" w:afterAutospacing="0"/>
        <w:jc w:val="both"/>
        <w:rPr>
          <w:sz w:val="20"/>
          <w:szCs w:val="20"/>
        </w:rPr>
      </w:pPr>
      <w:r w:rsidRPr="00EA6A9D">
        <w:rPr>
          <w:sz w:val="20"/>
          <w:szCs w:val="20"/>
        </w:rPr>
        <w:t xml:space="preserve">      </w:t>
      </w:r>
    </w:p>
    <w:p w:rsidR="00B930CE" w:rsidRPr="00A6154F" w:rsidRDefault="00B930CE"/>
    <w:sectPr w:rsidR="00B930CE" w:rsidRPr="00A6154F" w:rsidSect="00EF6F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1DDC"/>
    <w:rsid w:val="00097F7D"/>
    <w:rsid w:val="000D62AB"/>
    <w:rsid w:val="00264131"/>
    <w:rsid w:val="00292B0E"/>
    <w:rsid w:val="002A77F9"/>
    <w:rsid w:val="003C17A6"/>
    <w:rsid w:val="00471DDC"/>
    <w:rsid w:val="00543139"/>
    <w:rsid w:val="0055049A"/>
    <w:rsid w:val="006B0DA8"/>
    <w:rsid w:val="007335DF"/>
    <w:rsid w:val="008A5FA8"/>
    <w:rsid w:val="00A52D38"/>
    <w:rsid w:val="00A6154F"/>
    <w:rsid w:val="00B930CE"/>
    <w:rsid w:val="00CD18BC"/>
    <w:rsid w:val="00D9797F"/>
    <w:rsid w:val="00DE2773"/>
    <w:rsid w:val="00E438DF"/>
    <w:rsid w:val="00E6326C"/>
    <w:rsid w:val="00EA6A9D"/>
    <w:rsid w:val="00EF6F68"/>
    <w:rsid w:val="00FA57A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7A6"/>
    <w:rPr>
      <w:rFonts w:ascii="Times New Roman" w:eastAsia="Times New Roman" w:hAnsi="Times New Roman"/>
      <w:sz w:val="24"/>
      <w:szCs w:val="24"/>
    </w:rPr>
  </w:style>
  <w:style w:type="paragraph" w:styleId="1">
    <w:name w:val="heading 1"/>
    <w:basedOn w:val="a"/>
    <w:link w:val="10"/>
    <w:uiPriority w:val="99"/>
    <w:qFormat/>
    <w:rsid w:val="003C17A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C17A6"/>
    <w:rPr>
      <w:rFonts w:ascii="Times New Roman" w:hAnsi="Times New Roman" w:cs="Times New Roman"/>
      <w:b/>
      <w:bCs/>
      <w:kern w:val="36"/>
      <w:sz w:val="48"/>
      <w:szCs w:val="48"/>
      <w:lang w:eastAsia="ru-RU"/>
    </w:rPr>
  </w:style>
  <w:style w:type="character" w:styleId="a3">
    <w:name w:val="Hyperlink"/>
    <w:basedOn w:val="a0"/>
    <w:uiPriority w:val="99"/>
    <w:rsid w:val="003C17A6"/>
    <w:rPr>
      <w:rFonts w:cs="Times New Roman"/>
      <w:color w:val="0000FF"/>
      <w:u w:val="single"/>
    </w:rPr>
  </w:style>
  <w:style w:type="paragraph" w:styleId="a4">
    <w:name w:val="Normal (Web)"/>
    <w:basedOn w:val="a"/>
    <w:uiPriority w:val="99"/>
    <w:rsid w:val="003C17A6"/>
    <w:pPr>
      <w:spacing w:before="100" w:beforeAutospacing="1" w:after="100" w:afterAutospacing="1"/>
    </w:pPr>
  </w:style>
  <w:style w:type="character" w:styleId="a5">
    <w:name w:val="Strong"/>
    <w:basedOn w:val="a0"/>
    <w:uiPriority w:val="99"/>
    <w:qFormat/>
    <w:rsid w:val="003C17A6"/>
    <w:rPr>
      <w:rFonts w:cs="Times New Roman"/>
      <w:b/>
      <w:bCs/>
    </w:rPr>
  </w:style>
  <w:style w:type="character" w:styleId="a6">
    <w:name w:val="Emphasis"/>
    <w:basedOn w:val="a0"/>
    <w:uiPriority w:val="99"/>
    <w:qFormat/>
    <w:rsid w:val="003C17A6"/>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dp.tax.gov.ua/" TargetMode="External"/><Relationship Id="rId39" Type="http://schemas.openxmlformats.org/officeDocument/2006/relationships/hyperlink" Target="https://www.facebook.com/tax.dnipropetrovsk/" TargetMode="External"/><Relationship Id="rId21" Type="http://schemas.openxmlformats.org/officeDocument/2006/relationships/hyperlink" Target="https://www.facebook.com/tax.dnipropetrovsk/" TargetMode="External"/><Relationship Id="rId34" Type="http://schemas.openxmlformats.org/officeDocument/2006/relationships/hyperlink" Target="https://www.youtube.com/channel/UCIxijADr1NbFo5dhZ3mQwVA" TargetMode="External"/><Relationship Id="rId42" Type="http://schemas.openxmlformats.org/officeDocument/2006/relationships/hyperlink" Target="https://dp.tax.gov.ua/" TargetMode="External"/><Relationship Id="rId47" Type="http://schemas.openxmlformats.org/officeDocument/2006/relationships/hyperlink" Target="https://www.youtube.com/channel/UCIxijADr1NbFo5dhZ3mQwVA"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www.youtube.com/channel/UCIxijADr1NbFo5dhZ3mQwVA" TargetMode="External"/><Relationship Id="rId68" Type="http://schemas.openxmlformats.org/officeDocument/2006/relationships/theme" Target="theme/theme1.xml"/><Relationship Id="rId7" Type="http://schemas.openxmlformats.org/officeDocument/2006/relationships/hyperlink" Target="https://dp.tax.gov.ua/" TargetMode="External"/><Relationship Id="rId2" Type="http://schemas.openxmlformats.org/officeDocument/2006/relationships/settings" Target="settings.xml"/><Relationship Id="rId16" Type="http://schemas.openxmlformats.org/officeDocument/2006/relationships/hyperlink" Target="https://dp.tax.gov.ua/" TargetMode="External"/><Relationship Id="rId29" Type="http://schemas.openxmlformats.org/officeDocument/2006/relationships/hyperlink" Target="https://dp.tax.gov.ua/" TargetMode="Externa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1" Type="http://schemas.openxmlformats.org/officeDocument/2006/relationships/hyperlink" Target="https://tax.gov.ua/baneryi/odnorazove-dobrovilne-deklaruvannya/deklaratsiya/pokrokova-instruktsiya/" TargetMode="External"/><Relationship Id="rId24" Type="http://schemas.openxmlformats.org/officeDocument/2006/relationships/hyperlink" Target="https://www.facebook.com/tax.dnipropetrovsk/" TargetMode="External"/><Relationship Id="rId32" Type="http://schemas.openxmlformats.org/officeDocument/2006/relationships/hyperlink" Target="https://dp.tax.gov.ua/" TargetMode="External"/><Relationship Id="rId37" Type="http://schemas.openxmlformats.org/officeDocument/2006/relationships/hyperlink" Target="https://www.youtube.com/channel/UCIxijADr1NbFo5dhZ3mQwVA" TargetMode="External"/><Relationship Id="rId40" Type="http://schemas.openxmlformats.org/officeDocument/2006/relationships/hyperlink" Target="https://www.youtube.com/channel/UCIxijADr1NbFo5dhZ3mQwVA" TargetMode="External"/><Relationship Id="rId45" Type="http://schemas.openxmlformats.org/officeDocument/2006/relationships/hyperlink" Target="https://dp.tax.gov.ua/"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dp.tax.gov.ua/" TargetMode="External"/><Relationship Id="rId66" Type="http://schemas.openxmlformats.org/officeDocument/2006/relationships/hyperlink" Target="https://www.youtube.com/channel/UCIxijADr1NbFo5dhZ3mQwVA" TargetMode="External"/><Relationship Id="rId5" Type="http://schemas.openxmlformats.org/officeDocument/2006/relationships/hyperlink" Target="https://www.facebook.com/tax.dnipropetrovsk/"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dp.tax.gov.ua/" TargetMode="External"/><Relationship Id="rId28" Type="http://schemas.openxmlformats.org/officeDocument/2006/relationships/hyperlink" Target="https://www.youtube.com/channel/UCIxijADr1NbFo5dhZ3mQwVA" TargetMode="External"/><Relationship Id="rId36" Type="http://schemas.openxmlformats.org/officeDocument/2006/relationships/hyperlink" Target="https://www.facebook.com/tax.dnipropetrovsk/" TargetMode="External"/><Relationship Id="rId49" Type="http://schemas.openxmlformats.org/officeDocument/2006/relationships/hyperlink" Target="https://www.facebook.com/tax.dnipropetrovsk/" TargetMode="External"/><Relationship Id="rId57" Type="http://schemas.openxmlformats.org/officeDocument/2006/relationships/hyperlink" Target="http://tax.gov.ua/elektronna-zvitnist/spetsializovane-klientske-program/" TargetMode="External"/><Relationship Id="rId61" Type="http://schemas.openxmlformats.org/officeDocument/2006/relationships/hyperlink" Target="https://dp.tax.gov.ua/" TargetMode="External"/><Relationship Id="rId10" Type="http://schemas.openxmlformats.org/officeDocument/2006/relationships/hyperlink" Target="https://tax.gov.ua/baneryi/odnorazove-dobrovilne-deklaruvannya/deklaratsiya/zrazok-zapovnennya/" TargetMode="External"/><Relationship Id="rId19" Type="http://schemas.openxmlformats.org/officeDocument/2006/relationships/hyperlink" Target="https://tax.gov.ua/media-tsentr/novini/501294.html" TargetMode="External"/><Relationship Id="rId31" Type="http://schemas.openxmlformats.org/officeDocument/2006/relationships/hyperlink" Target="https://www.youtube.com/channel/UCIxijADr1NbFo5dhZ3mQwVA"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www.facebook.com/tax.dnipropetrovsk/" TargetMode="Externa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www.youtube.com/channel/UCIxijADr1NbFo5dhZ3mQwVA" TargetMode="External"/><Relationship Id="rId27" Type="http://schemas.openxmlformats.org/officeDocument/2006/relationships/hyperlink" Target="https://www.facebook.com/tax.dnipropetrovsk/" TargetMode="External"/><Relationship Id="rId30" Type="http://schemas.openxmlformats.org/officeDocument/2006/relationships/hyperlink" Target="https://www.facebook.com/tax.dnipropetrovsk/" TargetMode="External"/><Relationship Id="rId35" Type="http://schemas.openxmlformats.org/officeDocument/2006/relationships/hyperlink" Target="https://dp.tax.gov.u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dp.tax.gov.ua/"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dp.tax.gov.ua/" TargetMode="External"/><Relationship Id="rId8" Type="http://schemas.openxmlformats.org/officeDocument/2006/relationships/hyperlink" Target="https://www.facebook.com/tax.dnipropetrovsk/" TargetMode="External"/><Relationship Id="rId51" Type="http://schemas.openxmlformats.org/officeDocument/2006/relationships/hyperlink" Target="https://dp.tax.gov.ua/" TargetMode="External"/><Relationship Id="rId3" Type="http://schemas.openxmlformats.org/officeDocument/2006/relationships/webSettings" Target="webSettings.xml"/><Relationship Id="rId12" Type="http://schemas.openxmlformats.org/officeDocument/2006/relationships/hyperlink" Target="https://dp.tax.gov.ua/media-ark/news-ark/500917.html" TargetMode="External"/><Relationship Id="rId17" Type="http://schemas.openxmlformats.org/officeDocument/2006/relationships/hyperlink" Target="https://www.facebook.com/tax.dnipropetrovsk/" TargetMode="External"/><Relationship Id="rId25" Type="http://schemas.openxmlformats.org/officeDocument/2006/relationships/hyperlink" Target="https://www.youtube.com/channel/UCIxijADr1NbFo5dhZ3mQwVA" TargetMode="External"/><Relationship Id="rId33" Type="http://schemas.openxmlformats.org/officeDocument/2006/relationships/hyperlink" Target="https://www.facebook.com/tax.dnipropetrovsk/" TargetMode="External"/><Relationship Id="rId38" Type="http://schemas.openxmlformats.org/officeDocument/2006/relationships/hyperlink" Target="https://dp.tax.gov.ua/" TargetMode="External"/><Relationship Id="rId46" Type="http://schemas.openxmlformats.org/officeDocument/2006/relationships/hyperlink" Target="https://www.facebook.com/tax.dnipropetrovsk/" TargetMode="External"/><Relationship Id="rId59" Type="http://schemas.openxmlformats.org/officeDocument/2006/relationships/hyperlink" Target="https://www.facebook.com/tax.dnipropetrovsk/" TargetMode="External"/><Relationship Id="rId67" Type="http://schemas.openxmlformats.org/officeDocument/2006/relationships/fontTable" Target="fontTable.xml"/><Relationship Id="rId20" Type="http://schemas.openxmlformats.org/officeDocument/2006/relationships/hyperlink" Target="https://dp.tax.gov.ua/" TargetMode="External"/><Relationship Id="rId41" Type="http://schemas.openxmlformats.org/officeDocument/2006/relationships/hyperlink" Target="https://tax.gov.ua/elektronna-zvitnist/platnikam-podatkiv-pro/informatsiyno-analitichne-za/reestr-elektronnih-form-po/" TargetMode="External"/><Relationship Id="rId54" Type="http://schemas.openxmlformats.org/officeDocument/2006/relationships/hyperlink" Target="https://dp.tax.gov.ua/" TargetMode="External"/><Relationship Id="rId62"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10115</Words>
  <Characters>57656</Characters>
  <Application>Microsoft Office Word</Application>
  <DocSecurity>0</DocSecurity>
  <Lines>480</Lines>
  <Paragraphs>135</Paragraphs>
  <ScaleCrop>false</ScaleCrop>
  <Company>Computer</Company>
  <LinksUpToDate>false</LinksUpToDate>
  <CharactersWithSpaces>67636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2021-10-08T08:17:00Z</dcterms:created>
  <dcterms:modified xsi:type="dcterms:W3CDTF">2021-10-08T08:17:00Z</dcterms:modified>
</cp:coreProperties>
</file>