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6583" w:rsidRPr="00EF6CDA" w:rsidRDefault="00636583" w:rsidP="00636583">
      <w:pPr>
        <w:spacing w:after="0" w:line="240" w:lineRule="auto"/>
        <w:outlineLvl w:val="0"/>
        <w:rPr>
          <w:rFonts w:ascii="Times New Roman" w:eastAsia="Times New Roman" w:hAnsi="Times New Roman"/>
          <w:b/>
          <w:bCs/>
          <w:kern w:val="36"/>
          <w:sz w:val="20"/>
          <w:szCs w:val="20"/>
          <w:lang w:eastAsia="ru-RU"/>
        </w:rPr>
      </w:pPr>
      <w:bookmarkStart w:id="0" w:name="_GoBack"/>
      <w:bookmarkEnd w:id="0"/>
      <w:r w:rsidRPr="00EF6CDA">
        <w:rPr>
          <w:rFonts w:ascii="Times New Roman" w:eastAsia="Times New Roman" w:hAnsi="Times New Roman"/>
          <w:b/>
          <w:bCs/>
          <w:kern w:val="36"/>
          <w:sz w:val="20"/>
          <w:szCs w:val="20"/>
          <w:lang w:eastAsia="ru-RU"/>
        </w:rPr>
        <w:t>Закон України № 4015: новації для платників військового збору</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Головне управління ДПС у Дніпропетровській області нагадує, що з 01.12.2024 набрав чинності Закон України від 10 жовтня 2024 року № 4015-ІХ «Про внесення змін до Податкового кодексу України та інших законів України щодо забезпечення збалансованості бюджетних надходжень у період дії воєнного стану» (далі – Закон № 4015).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Законом № 4015 викладено у новій редакції підпункти 1.1 – 1.3 п. 16</w:t>
      </w:r>
      <w:r w:rsidRPr="00EF6CDA">
        <w:rPr>
          <w:rFonts w:ascii="Times New Roman" w:eastAsia="Times New Roman" w:hAnsi="Times New Roman"/>
          <w:sz w:val="20"/>
          <w:szCs w:val="20"/>
          <w:vertAlign w:val="superscript"/>
          <w:lang w:eastAsia="ru-RU"/>
        </w:rPr>
        <w:t>1</w:t>
      </w:r>
      <w:r w:rsidRPr="00EF6CDA">
        <w:rPr>
          <w:rFonts w:ascii="Times New Roman" w:eastAsia="Times New Roman" w:hAnsi="Times New Roman"/>
          <w:sz w:val="20"/>
          <w:szCs w:val="20"/>
          <w:lang w:eastAsia="ru-RU"/>
        </w:rPr>
        <w:t xml:space="preserve"> підрозділу 10 розділу ХХ «Перехідні положення» Податкового кодексу України (далі – ПКУ).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Так, відповідно до п.п. 1.1 п. 16</w:t>
      </w:r>
      <w:r w:rsidRPr="00EF6CDA">
        <w:rPr>
          <w:rFonts w:ascii="Times New Roman" w:eastAsia="Times New Roman" w:hAnsi="Times New Roman"/>
          <w:sz w:val="20"/>
          <w:szCs w:val="20"/>
          <w:vertAlign w:val="superscript"/>
          <w:lang w:eastAsia="ru-RU"/>
        </w:rPr>
        <w:t>1</w:t>
      </w:r>
      <w:r w:rsidRPr="00EF6CDA">
        <w:rPr>
          <w:rFonts w:ascii="Times New Roman" w:eastAsia="Times New Roman" w:hAnsi="Times New Roman"/>
          <w:sz w:val="20"/>
          <w:szCs w:val="20"/>
          <w:lang w:eastAsia="ru-RU"/>
        </w:rPr>
        <w:t xml:space="preserve"> підрозділу 10 розділу ХХ «Перехідні положення» ПКУ платниками військового збору є: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1) особи, визначені п. 162.1 ст. 162 ПКУ;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2) фізичні особи – підприємці – платники єдиного податку першої, другої та четвертої груп;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3) платники єдиного податку третьої групи.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Військовий збір для платників збору, зазначених у підпунктах 2 та 3 цього підпункту, встановлюється з 01 жовтня 2024 року по 31 грудня року, у якому буде припинено або скасовано воєнний стан, введений Указом Президента України «Про введення воєнного стану в Україні» від 24 лютого 2022 року № 64/2022, затвердженим Законом України «Про затвердження Указу Президента України «Про введення воєнного стану в Україні» від 24 лютого 2022 року № 2102-IX».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Згідно з п.п. 1.2 п. 16</w:t>
      </w:r>
      <w:r w:rsidRPr="00EF6CDA">
        <w:rPr>
          <w:rFonts w:ascii="Times New Roman" w:eastAsia="Times New Roman" w:hAnsi="Times New Roman"/>
          <w:sz w:val="20"/>
          <w:szCs w:val="20"/>
          <w:vertAlign w:val="superscript"/>
          <w:lang w:eastAsia="ru-RU"/>
        </w:rPr>
        <w:t>1</w:t>
      </w:r>
      <w:r w:rsidRPr="00EF6CDA">
        <w:rPr>
          <w:rFonts w:ascii="Times New Roman" w:eastAsia="Times New Roman" w:hAnsi="Times New Roman"/>
          <w:sz w:val="20"/>
          <w:szCs w:val="20"/>
          <w:lang w:eastAsia="ru-RU"/>
        </w:rPr>
        <w:t xml:space="preserve"> підрозділу 10 розділу ХХ ПКУ об’єктом оподаткування збором є: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1) для платників, зазначених у п.п. 1 п.п. 1.1 цього пункту, – доходи, визначені ст. 163 ПКУ;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2) для платників, зазначених у п.п. 2 п.п. 1.1 цього пункту, – щомісячна сума, що дорівнює розміру мінімальної заробітної плати, встановленої законом на 1 січня податкового (звітного) року;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3) для платників, зазначених у п.п. 3 п.п. 1.1 цього пункту, – доходи, визначені ст. 292 ПКУ.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Нормами п.п. 1.3 п. 16</w:t>
      </w:r>
      <w:r w:rsidRPr="00EF6CDA">
        <w:rPr>
          <w:rFonts w:ascii="Times New Roman" w:eastAsia="Times New Roman" w:hAnsi="Times New Roman"/>
          <w:sz w:val="20"/>
          <w:szCs w:val="20"/>
          <w:vertAlign w:val="superscript"/>
          <w:lang w:eastAsia="ru-RU"/>
        </w:rPr>
        <w:t>1</w:t>
      </w:r>
      <w:r w:rsidRPr="00EF6CDA">
        <w:rPr>
          <w:rFonts w:ascii="Times New Roman" w:eastAsia="Times New Roman" w:hAnsi="Times New Roman"/>
          <w:sz w:val="20"/>
          <w:szCs w:val="20"/>
          <w:lang w:eastAsia="ru-RU"/>
        </w:rPr>
        <w:t xml:space="preserve"> підрозділу 10 розділу ХХ ПКУ визначено, що ставка збору становить: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1) для платників, зазначених у п.п. 1 п.п. 1.1 цього пункту, – 5 відсотків від об’єкта оподаткування, визначеного п.п. 1 п.п. 1.2 цього пункту;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2) для платників, зазначених у п.п. 2 п.п. 1.1 цього пункту, – 10 відсотків розміру мінімальної заробітної плати, встановленої законом на 1 січня податкового (звітного) року, з розрахунку на календарний місяць;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3) для платників, зазначених у п.п. 3 п.п. 1.1 цього пункту, – 1 відсоток від доходу, визначеного згідно із ст. 292 ПКУ. </w:t>
      </w:r>
    </w:p>
    <w:p w:rsidR="00636583" w:rsidRDefault="00636583" w:rsidP="00636583">
      <w:pPr>
        <w:spacing w:after="0" w:line="240" w:lineRule="auto"/>
        <w:rPr>
          <w:rFonts w:ascii="Times New Roman" w:eastAsia="Times New Roman" w:hAnsi="Times New Roman"/>
          <w:sz w:val="20"/>
          <w:szCs w:val="20"/>
          <w:lang w:val="uk-UA" w:eastAsia="ru-RU"/>
        </w:rPr>
      </w:pPr>
    </w:p>
    <w:p w:rsidR="00636583" w:rsidRPr="00EF6CDA" w:rsidRDefault="00636583" w:rsidP="00636583">
      <w:pPr>
        <w:pStyle w:val="1"/>
        <w:spacing w:before="0" w:beforeAutospacing="0" w:after="0" w:afterAutospacing="0"/>
        <w:rPr>
          <w:sz w:val="20"/>
          <w:szCs w:val="20"/>
        </w:rPr>
      </w:pPr>
      <w:r w:rsidRPr="00EF6CDA">
        <w:rPr>
          <w:sz w:val="20"/>
          <w:szCs w:val="20"/>
        </w:rPr>
        <w:t>ВАЖЛИВО! До уваги платників!</w:t>
      </w:r>
    </w:p>
    <w:p w:rsidR="00636583" w:rsidRPr="00EF6CDA" w:rsidRDefault="00636583" w:rsidP="00636583">
      <w:pPr>
        <w:pStyle w:val="a3"/>
        <w:spacing w:before="0" w:beforeAutospacing="0" w:after="0" w:afterAutospacing="0"/>
        <w:jc w:val="both"/>
        <w:rPr>
          <w:sz w:val="20"/>
          <w:szCs w:val="20"/>
        </w:rPr>
      </w:pPr>
      <w:r w:rsidRPr="00EF6CDA">
        <w:rPr>
          <w:sz w:val="20"/>
          <w:szCs w:val="20"/>
        </w:rPr>
        <w:t xml:space="preserve">Головне управління ДПС у Дніпропетровській області нагадує, що у зв’язку з набранням чинності з 01.12.2024 Закону України від 10 жовтня 2024 року № 4015-ІХ «Про внесення змін до Податкового кодексу України та інших законів України щодо забезпечення збалансованості бюджетних надходжень у період дії воєнного стану», введено в дію рахунки за наступними кодами класифікації доходів бюджету: </w:t>
      </w:r>
    </w:p>
    <w:p w:rsidR="00636583" w:rsidRPr="00EF6CDA" w:rsidRDefault="00636583" w:rsidP="00636583">
      <w:pPr>
        <w:pStyle w:val="a3"/>
        <w:spacing w:before="0" w:beforeAutospacing="0" w:after="0" w:afterAutospacing="0"/>
        <w:jc w:val="both"/>
        <w:rPr>
          <w:sz w:val="20"/>
          <w:szCs w:val="20"/>
        </w:rPr>
      </w:pPr>
      <w:r w:rsidRPr="00EF6CDA">
        <w:rPr>
          <w:sz w:val="20"/>
          <w:szCs w:val="20"/>
        </w:rPr>
        <w:t xml:space="preserve">- 11011600 «Військовий збір, що підлягає сплаті платниками, зазначеними у підпункті 4 підпункту 1.3 пункту 16 прим.1 підрозділу 10 розділу ХХ Податкового кодексу України»; </w:t>
      </w:r>
    </w:p>
    <w:p w:rsidR="00636583" w:rsidRPr="00EF6CDA" w:rsidRDefault="00636583" w:rsidP="00636583">
      <w:pPr>
        <w:pStyle w:val="a3"/>
        <w:spacing w:before="0" w:beforeAutospacing="0" w:after="0" w:afterAutospacing="0"/>
        <w:jc w:val="both"/>
        <w:rPr>
          <w:sz w:val="20"/>
          <w:szCs w:val="20"/>
        </w:rPr>
      </w:pPr>
      <w:r w:rsidRPr="00EF6CDA">
        <w:rPr>
          <w:sz w:val="20"/>
          <w:szCs w:val="20"/>
        </w:rPr>
        <w:t xml:space="preserve">- 11011700 «Військовий збір, що підлягає сплаті фізичними особами – підприємцями, які перебувають на спрощеній системі оподаткування»; </w:t>
      </w:r>
    </w:p>
    <w:p w:rsidR="00636583" w:rsidRPr="00EF6CDA" w:rsidRDefault="00636583" w:rsidP="00636583">
      <w:pPr>
        <w:pStyle w:val="a3"/>
        <w:spacing w:before="0" w:beforeAutospacing="0" w:after="0" w:afterAutospacing="0"/>
        <w:jc w:val="both"/>
        <w:rPr>
          <w:sz w:val="20"/>
          <w:szCs w:val="20"/>
        </w:rPr>
      </w:pPr>
      <w:r w:rsidRPr="00EF6CDA">
        <w:rPr>
          <w:sz w:val="20"/>
          <w:szCs w:val="20"/>
        </w:rPr>
        <w:t xml:space="preserve">- 11011800 «Військовий збір, що підлягає сплаті юридичними особами, які перебувають на спрощеній системі оподаткування (ІІІ група)»; </w:t>
      </w:r>
    </w:p>
    <w:p w:rsidR="00636583" w:rsidRPr="00EF6CDA" w:rsidRDefault="00636583" w:rsidP="00636583">
      <w:pPr>
        <w:pStyle w:val="a3"/>
        <w:spacing w:before="0" w:beforeAutospacing="0" w:after="0" w:afterAutospacing="0"/>
        <w:jc w:val="both"/>
        <w:rPr>
          <w:sz w:val="20"/>
          <w:szCs w:val="20"/>
        </w:rPr>
      </w:pPr>
      <w:r w:rsidRPr="00EF6CDA">
        <w:rPr>
          <w:sz w:val="20"/>
          <w:szCs w:val="20"/>
        </w:rPr>
        <w:t xml:space="preserve">- 11011500 «Авансовий внесок з податку на доходи фізичних осіб, що сплачується платниками податку, які здійснюють роздрібну торгівлю пальним»; </w:t>
      </w:r>
    </w:p>
    <w:p w:rsidR="00636583" w:rsidRPr="00EF6CDA" w:rsidRDefault="00636583" w:rsidP="00636583">
      <w:pPr>
        <w:pStyle w:val="a3"/>
        <w:spacing w:before="0" w:beforeAutospacing="0" w:after="0" w:afterAutospacing="0"/>
        <w:jc w:val="both"/>
        <w:rPr>
          <w:sz w:val="20"/>
          <w:szCs w:val="20"/>
        </w:rPr>
      </w:pPr>
      <w:r w:rsidRPr="00EF6CDA">
        <w:rPr>
          <w:sz w:val="20"/>
          <w:szCs w:val="20"/>
        </w:rPr>
        <w:t xml:space="preserve">- 11021800 «Авансовий внесок з податку на прибуток підприємств, що сплачується платниками податку, які здійснюють роздрібну торгівлю пальним». </w:t>
      </w:r>
    </w:p>
    <w:p w:rsidR="00636583" w:rsidRPr="00EF6CDA" w:rsidRDefault="00636583" w:rsidP="00636583">
      <w:pPr>
        <w:pStyle w:val="a3"/>
        <w:spacing w:before="0" w:beforeAutospacing="0" w:after="0" w:afterAutospacing="0"/>
        <w:jc w:val="both"/>
        <w:rPr>
          <w:sz w:val="20"/>
          <w:szCs w:val="20"/>
        </w:rPr>
      </w:pPr>
      <w:r w:rsidRPr="00EF6CDA">
        <w:rPr>
          <w:sz w:val="20"/>
          <w:szCs w:val="20"/>
        </w:rPr>
        <w:t>Реквізити нових бюджетних рахунків розміщені для ознайомлення на субсайті «Головне управління ДПС у Дніпропетровській області» вебпорталу ДПС в розділі «Рахунки для сплати платежів», за посиланням </w:t>
      </w:r>
      <w:hyperlink r:id="rId4" w:history="1">
        <w:r w:rsidRPr="00EF6CDA">
          <w:rPr>
            <w:rStyle w:val="a4"/>
            <w:sz w:val="20"/>
            <w:szCs w:val="20"/>
          </w:rPr>
          <w:t>https://dp.tax.gov.ua/rahunki-dlya-splati-platejiv</w:t>
        </w:r>
      </w:hyperlink>
      <w:r w:rsidRPr="00EF6CDA">
        <w:rPr>
          <w:sz w:val="20"/>
          <w:szCs w:val="20"/>
        </w:rPr>
        <w:t xml:space="preserve">. </w:t>
      </w:r>
    </w:p>
    <w:p w:rsidR="00636583" w:rsidRDefault="00636583" w:rsidP="00636583">
      <w:pPr>
        <w:spacing w:after="0" w:line="240" w:lineRule="auto"/>
        <w:rPr>
          <w:rFonts w:ascii="Times New Roman" w:eastAsia="Times New Roman" w:hAnsi="Times New Roman"/>
          <w:sz w:val="20"/>
          <w:szCs w:val="20"/>
          <w:lang w:val="uk-UA" w:eastAsia="ru-RU"/>
        </w:rPr>
      </w:pPr>
      <w:r w:rsidRPr="00EF6CDA">
        <w:rPr>
          <w:rFonts w:ascii="Times New Roman" w:eastAsia="Times New Roman" w:hAnsi="Times New Roman"/>
          <w:sz w:val="20"/>
          <w:szCs w:val="20"/>
          <w:lang w:eastAsia="ru-RU"/>
        </w:rPr>
        <w:t xml:space="preserve">  </w:t>
      </w:r>
    </w:p>
    <w:p w:rsidR="0025471C" w:rsidRPr="00EF6CDA" w:rsidRDefault="0025471C" w:rsidP="0025471C">
      <w:pPr>
        <w:spacing w:after="0" w:line="240" w:lineRule="auto"/>
        <w:outlineLvl w:val="0"/>
        <w:rPr>
          <w:rFonts w:ascii="Times New Roman" w:eastAsia="Times New Roman" w:hAnsi="Times New Roman"/>
          <w:b/>
          <w:bCs/>
          <w:kern w:val="36"/>
          <w:sz w:val="20"/>
          <w:szCs w:val="20"/>
          <w:lang w:eastAsia="ru-RU"/>
        </w:rPr>
      </w:pPr>
      <w:r w:rsidRPr="00EF6CDA">
        <w:rPr>
          <w:rFonts w:ascii="Times New Roman" w:eastAsia="Times New Roman" w:hAnsi="Times New Roman"/>
          <w:b/>
          <w:bCs/>
          <w:kern w:val="36"/>
          <w:sz w:val="20"/>
          <w:szCs w:val="20"/>
          <w:lang w:eastAsia="ru-RU"/>
        </w:rPr>
        <w:t>Трудові відносини без офіційного оформлення мінімізують сплату податків</w:t>
      </w:r>
    </w:p>
    <w:p w:rsidR="0025471C" w:rsidRPr="00EF6CDA" w:rsidRDefault="0025471C" w:rsidP="0025471C">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Головне управління ДПС у Дніпропетровській області приділяє особливу увагу офіційному працевлаштуванню найманих працівників. </w:t>
      </w:r>
    </w:p>
    <w:p w:rsidR="0025471C" w:rsidRPr="00EF6CDA" w:rsidRDefault="0025471C" w:rsidP="0025471C">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Факти використання юридичними особами взаємовідносин з фізичними особами – підприємцями шляхом штучного формування витрат (нарахування та виплата доходів по ознаці 157) мінімізують сплату податків. Це відбувається, зокрема за рахунок найму працівників без офіційного оформлення трудових відносин та заниження фактично виплаченої заробітної плати (зокрема, укладення з ФОП цивільно-правових договорів), що відображається в податковій звітності. </w:t>
      </w:r>
    </w:p>
    <w:p w:rsidR="0025471C" w:rsidRPr="00EF6CDA" w:rsidRDefault="0025471C" w:rsidP="0025471C">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Під час здійснення податківцями моніторингу господарської діяльності суб’єктів господарювання, додатковому аналізу підлягають певні можливі мінімізуючі фактори, а саме: </w:t>
      </w:r>
    </w:p>
    <w:p w:rsidR="0025471C" w:rsidRPr="00EF6CDA" w:rsidRDefault="0025471C" w:rsidP="0025471C">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фактичне здійснення господарської діяльності, яка не відповідає основному виду (неподання до ДПС заяви про зміну облікових даних); </w:t>
      </w:r>
    </w:p>
    <w:p w:rsidR="0025471C" w:rsidRPr="00EF6CDA" w:rsidRDefault="0025471C" w:rsidP="0025471C">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забезпеченість трудовими ресурсами (сезонний характер роботи та своєчасність подання/сплати ПДФО, військового збору, єдиного внеску); </w:t>
      </w:r>
    </w:p>
    <w:p w:rsidR="0025471C" w:rsidRPr="00EF6CDA" w:rsidRDefault="0025471C" w:rsidP="0025471C">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lastRenderedPageBreak/>
        <w:t xml:space="preserve">-   забезпеченість матеріальними ресурсами (наявність земельних ділянок, споруд, техніки та подання звіту за формою № 20-ОПП); </w:t>
      </w:r>
    </w:p>
    <w:p w:rsidR="0025471C" w:rsidRPr="00EF6CDA" w:rsidRDefault="0025471C" w:rsidP="0025471C">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В рамках експериментального проекту щодо функціонування системи управління податковими ризиками (комплаєнс-ризиками) в Державній податковій службі опрацювання інформації, що здійснюється контролюючим органом – це аналіз господарської діяльності юридичних осіб/фізичних осіб – підприємців, виявлення суб’єктів господарювання, які здійснюють операції, що мають ознаки вдаваних, зокрема, придбавають послуги у економічнопов’язаних осіб, порівняння реальної заробітної плати з даними в інтернет-мережах та кількістю працівників із обсягами виконаних робіт та послуг, та у разі виявлення таких фактів – невідкладне інформування платника. </w:t>
      </w:r>
    </w:p>
    <w:p w:rsidR="00636583" w:rsidRPr="00636583" w:rsidRDefault="00636583" w:rsidP="00636583">
      <w:pPr>
        <w:spacing w:after="0" w:line="240" w:lineRule="auto"/>
        <w:rPr>
          <w:rFonts w:ascii="Times New Roman" w:eastAsia="Times New Roman" w:hAnsi="Times New Roman"/>
          <w:sz w:val="20"/>
          <w:szCs w:val="20"/>
          <w:lang w:val="uk-UA" w:eastAsia="ru-RU"/>
        </w:rPr>
      </w:pPr>
    </w:p>
    <w:p w:rsidR="00A65715" w:rsidRPr="00EF6CDA" w:rsidRDefault="00A65715" w:rsidP="00A65715">
      <w:pPr>
        <w:spacing w:after="0" w:line="240" w:lineRule="auto"/>
        <w:outlineLvl w:val="0"/>
        <w:rPr>
          <w:rFonts w:ascii="Times New Roman" w:eastAsia="Times New Roman" w:hAnsi="Times New Roman"/>
          <w:b/>
          <w:bCs/>
          <w:kern w:val="36"/>
          <w:sz w:val="20"/>
          <w:szCs w:val="20"/>
          <w:lang w:eastAsia="ru-RU"/>
        </w:rPr>
      </w:pPr>
      <w:r w:rsidRPr="00EF6CDA">
        <w:rPr>
          <w:rFonts w:ascii="Times New Roman" w:eastAsia="Times New Roman" w:hAnsi="Times New Roman"/>
          <w:b/>
          <w:bCs/>
          <w:kern w:val="36"/>
          <w:sz w:val="20"/>
          <w:szCs w:val="20"/>
          <w:lang w:eastAsia="ru-RU"/>
        </w:rPr>
        <w:t>Про організаційно-методичні засади функціонування системи управління податковими ризиками (комплаєнс-ризиками)</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Головне управління ДПС у Дніпропетровській області інформує. </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Відповідно до п. 11 Порядку реалізації експериментального проекту щодо функціонування системи управління податковими ризиками (комплаєнс-ризиками) в Державній податковій службі (далі – Порядок), затвердженого постановою Кабінету Міністрів України від 25 липня 2024 року № 854, об’єктом оцінювання стосовно наявності/відсутності податкових ризиків є діяльність платника податків щодо виконання ним податкових обов’язків, визначених податковим законодавством, іншим законодавством, контроль за дотриманням якого покладено на податковий орган, з податків, зборів, платежів, закріплених за ДПС відповідно до постанови Кабінету Міністрів України від 16 лютого 2011 року № 106 «Деякі питання ведення обліку податків, зборів, платежів та інших доходів бюджету» (із змінами). </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Пунктом 12 Порядку визначено, що метою запровадження системи управління у ДПС під час реалізації експериментального проекту є: </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підвищення рівня дотримання платниками податків податкових обов’язків із використанням підходу, що базується на оцінці податкових ризиків; </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визначення причин виникнення податкових ризиків платників податків; </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ідентифікація, аналіз та оцінювання податкових ризиків платників податків, визначення заходів впливу (способів реагування) щодо цих ризиків, які здійснюються за наявності підстав, </w:t>
      </w:r>
      <w:proofErr w:type="gramStart"/>
      <w:r w:rsidRPr="00EF6CDA">
        <w:rPr>
          <w:rFonts w:ascii="Times New Roman" w:eastAsia="Times New Roman" w:hAnsi="Times New Roman"/>
          <w:sz w:val="20"/>
          <w:szCs w:val="20"/>
          <w:lang w:eastAsia="ru-RU"/>
        </w:rPr>
        <w:t>у межах</w:t>
      </w:r>
      <w:proofErr w:type="gramEnd"/>
      <w:r w:rsidRPr="00EF6CDA">
        <w:rPr>
          <w:rFonts w:ascii="Times New Roman" w:eastAsia="Times New Roman" w:hAnsi="Times New Roman"/>
          <w:sz w:val="20"/>
          <w:szCs w:val="20"/>
          <w:lang w:eastAsia="ru-RU"/>
        </w:rPr>
        <w:t xml:space="preserve"> та спосіб, що визначені Податковим кодексом України та іншими актами законодавства, з урахуванням наявності фінансових, матеріально-технічних, людських та інших ресурсів ДПС для мінімізації таких податкових ризиків платників податків з огляду на їх вагомість; </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впровадження диференційованих підходів до управління податковими ризиками на основі вагомості ризику, визначеної відповідно до методики. </w:t>
      </w:r>
    </w:p>
    <w:p w:rsidR="00A65715" w:rsidRDefault="00A65715" w:rsidP="00A65715">
      <w:pPr>
        <w:spacing w:after="0" w:line="240" w:lineRule="auto"/>
        <w:outlineLvl w:val="0"/>
        <w:rPr>
          <w:rFonts w:ascii="Times New Roman" w:eastAsia="Times New Roman" w:hAnsi="Times New Roman"/>
          <w:b/>
          <w:bCs/>
          <w:kern w:val="36"/>
          <w:sz w:val="20"/>
          <w:szCs w:val="20"/>
          <w:lang w:val="uk-UA" w:eastAsia="ru-RU"/>
        </w:rPr>
      </w:pPr>
    </w:p>
    <w:p w:rsidR="00A65715" w:rsidRPr="00EF6CDA" w:rsidRDefault="00A65715" w:rsidP="00A65715">
      <w:pPr>
        <w:spacing w:after="0" w:line="240" w:lineRule="auto"/>
        <w:outlineLvl w:val="0"/>
        <w:rPr>
          <w:rFonts w:ascii="Times New Roman" w:eastAsia="Times New Roman" w:hAnsi="Times New Roman"/>
          <w:b/>
          <w:bCs/>
          <w:kern w:val="36"/>
          <w:sz w:val="20"/>
          <w:szCs w:val="20"/>
          <w:lang w:eastAsia="ru-RU"/>
        </w:rPr>
      </w:pPr>
      <w:r w:rsidRPr="00EF6CDA">
        <w:rPr>
          <w:rFonts w:ascii="Times New Roman" w:eastAsia="Times New Roman" w:hAnsi="Times New Roman"/>
          <w:b/>
          <w:bCs/>
          <w:kern w:val="36"/>
          <w:sz w:val="20"/>
          <w:szCs w:val="20"/>
          <w:lang w:eastAsia="ru-RU"/>
        </w:rPr>
        <w:t>У листопаді до загального фонду державного бюджету надійшло 11,8 млрд грн акцизного податку</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У листопаді 2024 року до загального фонду Державного бюджету України надійшло акцизного податку з вироблених в Україні та ввезених на митну територію України підакцизних товарів (продукції) у сумі 11,8 млрд грн. Це становить 101,1 відс. показника доходів, доведеного Міністерством фінансів України (додатково надійшло 0,13 млрд грн), та на 3,3 млрд грн, або 38,1 відс. перевищує надходження листопада минулого року. </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Виконання показників доходів досягнуто за рахунок додаткових надходжень акцизного податку: </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з виробленої в Україні лікеро-горілчаної продукції – на 0,15 млрд грн, або 120,9 відс. від доведеного завдання (0,7 млрд грн); </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з ввезених в Україну тютюнових виробів – на 0,25 млрд грн, або 117,5 відс. від доведеного завдання (1,4 млрд гривень). </w:t>
      </w:r>
    </w:p>
    <w:p w:rsidR="00A65715" w:rsidRDefault="00A65715" w:rsidP="00A65715">
      <w:pPr>
        <w:pStyle w:val="a3"/>
        <w:spacing w:before="0" w:beforeAutospacing="0" w:after="0" w:afterAutospacing="0"/>
        <w:rPr>
          <w:sz w:val="20"/>
          <w:szCs w:val="20"/>
          <w:lang w:val="uk-UA"/>
        </w:rPr>
      </w:pPr>
    </w:p>
    <w:p w:rsidR="00636583" w:rsidRPr="00EF6CDA" w:rsidRDefault="00636583" w:rsidP="00636583">
      <w:pPr>
        <w:spacing w:after="0" w:line="240" w:lineRule="auto"/>
        <w:outlineLvl w:val="0"/>
        <w:rPr>
          <w:rFonts w:ascii="Times New Roman" w:eastAsia="Times New Roman" w:hAnsi="Times New Roman"/>
          <w:b/>
          <w:bCs/>
          <w:kern w:val="36"/>
          <w:sz w:val="20"/>
          <w:szCs w:val="20"/>
          <w:lang w:eastAsia="ru-RU"/>
        </w:rPr>
      </w:pPr>
      <w:r w:rsidRPr="00EF6CDA">
        <w:rPr>
          <w:rFonts w:ascii="Times New Roman" w:eastAsia="Times New Roman" w:hAnsi="Times New Roman"/>
          <w:b/>
          <w:bCs/>
          <w:kern w:val="36"/>
          <w:sz w:val="20"/>
          <w:szCs w:val="20"/>
          <w:lang w:eastAsia="ru-RU"/>
        </w:rPr>
        <w:t>Закон України № 3813: новації</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Головне управління ДПС у Дніпропетровській області нагадує.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З 01 серпня 2024 року набув чинності Закон України від 18 червня 2024 року № 3813-IX «Про внесення змін до Податкового кодексу України щодо особливостей податкового адміністрування під час воєнного стану для платників податків з високим рівнем добровільного дотримання податкового законодавства» (Закон № 3813).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Закон № 3813 покликаний надати платникам з високим рівнем добровільного дотримання податкового законодавства низку переваг в адмініструванні податків, зборів та платежів.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Мета імплементації норм Закону № 3813 – стимулювання бізнесу, який дотримується норм податкового законодавства, підтримкою з боку держави.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Таким платникам будуть надані вагомі переваги.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Законом № 3813, зокрема, запроваджено: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1) терміни «комплаєнс»;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2) Перелік платників податків з високим рівнем добровільного дотримання податкового законодавства (далі – Перелік), які користуватимуться низкою переваг у податковому адмініструванні під час воєнного стану;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Важливо!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Віднесення платників до Переліку здійснюється за певними загальними вимогами та критеріями, які встановлені наказом Міністерства фінансів України від 07.10.2024 № 495.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lastRenderedPageBreak/>
        <w:t xml:space="preserve">3) щоквартальне включення до Переліку юридичних осіб та фізичних осіб – підприємців, які відповідатимуть низці вимог та критеріїв з урахуванням системи оподаткування. Це здійснюватиметься автоматично.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4) ведення Переліку забезпечуватиме ДПС України, а інформацію про включення до нього платник податків отримуватиме через електронний кабінет;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5) щоквартальна публікація ДПС України на своєму вебпорталі середніх показників критеріїв, які передбачені Законом № 3813;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6) отримання платниками, які не досягли середніх показників критеріїв, такої аналітичної інформації через електронний кабінет;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7) отримання платниками податків, включених до Переліку, певних переваг.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Переваги, надані Законом № 3813: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1) мораторій на документальні перевірки, крім деяких видів;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2) скорочення строків камеральної та документальної перевірок у цілях бюджетного відшкодування (становить 5 та 10 робочих днів відповідно);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3) отримання індивідуальних податкових консультацій протягом 15 календарних днів;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4) закріплення за платником податків комплаєнс-менеджера, з яким платник зможе взаємодіяти, зокрема з використанням засобів дистанційного зв’язку, у тому числі у режимі відеоконференції;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5) право платника податків на свій запит у 5-ти денний строк отримати відомості про наявну у контролюючого органу податкову інформацію, яка може свідчити про податкові ризики у діяльності платника податків, а також консультацію щодо усунення таких ризиків.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Комплаєнс-менеджер – це посадова особа, яка надасть відповіді платнику на податкові запитання. Він супроводжує усі податкові процеси такого платника, тобто є його помічником.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Менеджер буде нагадувати платнику про терміни сплати, упередження виникнення ризиків, відповідати на питання, використовуючи різні засоби зв’язку.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До переліку платників з високим рівнем добровільного дотримання податкового законодавства належать юридичні та фізичні особи – підприємці.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Існує 6-ть категорій таких платників: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юридичні особи на загальній системі оподаткування;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юридичні особи – на спрощеній системі оподаткування 3-ї та 4-ї груп;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резиденти Дія.Сіті;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ФОПи – на загальній системі оподаткування;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ФОПи – на спрощеній системі оподаткування.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Наразі запрацював розроблений ДПС України окремий субсайт «Територія високого рівня податкової довіри» для інформування платників податків.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На цьому сайті можна отримати зручний доступ до корисної інформації, зокрема, ознайомитись з Переліками платників та розрахованих середніх показників критеріїв у розрізі регіонів.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Перший перелік буде сформований та затверджений і оприлюднений у грудні поточного року.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Новий Закон № 3813-IX відкриває нові можливості для бізнесу в Україні. Пропонуємо платникам податків скористатися наданими перевагами і створити ще більш ефективну та прозору систему взаємодії з державою.  </w:t>
      </w:r>
    </w:p>
    <w:p w:rsidR="00636583" w:rsidRPr="00636583" w:rsidRDefault="00636583" w:rsidP="00A65715">
      <w:pPr>
        <w:pStyle w:val="a3"/>
        <w:spacing w:before="0" w:beforeAutospacing="0" w:after="0" w:afterAutospacing="0"/>
        <w:rPr>
          <w:sz w:val="20"/>
          <w:szCs w:val="20"/>
          <w:lang w:val="uk-UA"/>
        </w:rPr>
      </w:pPr>
    </w:p>
    <w:p w:rsidR="00A65715" w:rsidRPr="00EF6CDA" w:rsidRDefault="00A65715" w:rsidP="00A65715">
      <w:pPr>
        <w:pStyle w:val="1"/>
        <w:spacing w:before="0" w:beforeAutospacing="0" w:after="0" w:afterAutospacing="0"/>
        <w:rPr>
          <w:sz w:val="20"/>
          <w:szCs w:val="20"/>
        </w:rPr>
      </w:pPr>
      <w:r w:rsidRPr="00EF6CDA">
        <w:rPr>
          <w:sz w:val="20"/>
          <w:szCs w:val="20"/>
        </w:rPr>
        <w:t>Режим експортного забезпечення: щодо деталізації особливостей коригування операцій з експорту окремих видів товарів</w:t>
      </w:r>
    </w:p>
    <w:p w:rsidR="00A65715" w:rsidRPr="00EF6CDA" w:rsidRDefault="00A65715" w:rsidP="00A65715">
      <w:pPr>
        <w:pStyle w:val="a3"/>
        <w:spacing w:before="0" w:beforeAutospacing="0" w:after="0" w:afterAutospacing="0"/>
        <w:jc w:val="both"/>
        <w:rPr>
          <w:sz w:val="20"/>
          <w:szCs w:val="20"/>
        </w:rPr>
      </w:pPr>
      <w:r w:rsidRPr="00EF6CDA">
        <w:rPr>
          <w:sz w:val="20"/>
          <w:szCs w:val="20"/>
        </w:rPr>
        <w:t xml:space="preserve">Головне управління ДПС у Дніпропетровській області звертає увагу, що Державна податкова служба України з метою деталізації особливостей коригування операцій з експорту окремих видів товарів, що здійснюються в межах режиму експортного забезпечення (далі – РЕЗ) після завершення їх митного оформлення, проінформувала про внесення змін та доповнень до листа ДПС від 15.11.2024 № 31717/7/99-00-21-03-02-07, який розміщено на офіційному вебпорталі ДПС за посиланням: </w:t>
      </w:r>
      <w:hyperlink r:id="rId5" w:history="1">
        <w:r w:rsidRPr="00EF6CDA">
          <w:rPr>
            <w:rStyle w:val="a4"/>
            <w:sz w:val="20"/>
            <w:szCs w:val="20"/>
          </w:rPr>
          <w:t>https://tax.gov.ua/zakonodavstvo/podatkove-zakonodavstvo/listi-dps/79183.html</w:t>
        </w:r>
      </w:hyperlink>
      <w:r w:rsidRPr="00EF6CDA">
        <w:rPr>
          <w:sz w:val="20"/>
          <w:szCs w:val="20"/>
        </w:rPr>
        <w:t xml:space="preserve">. </w:t>
      </w:r>
    </w:p>
    <w:p w:rsidR="00A65715" w:rsidRPr="00EF6CDA" w:rsidRDefault="00A65715" w:rsidP="00A65715">
      <w:pPr>
        <w:pStyle w:val="a3"/>
        <w:spacing w:before="0" w:beforeAutospacing="0" w:after="0" w:afterAutospacing="0"/>
        <w:jc w:val="both"/>
        <w:rPr>
          <w:sz w:val="20"/>
          <w:szCs w:val="20"/>
        </w:rPr>
      </w:pPr>
      <w:r w:rsidRPr="00EF6CDA">
        <w:rPr>
          <w:sz w:val="20"/>
          <w:szCs w:val="20"/>
        </w:rPr>
        <w:t xml:space="preserve">У пункті 2.2 "Складання розрахунку коригування з метою приведення показників податкової накладної у відповідність з показниками митної декларації (далі – РК_РЕЗ_2)" розділу ІІІ "Складання податкових накладних та розрахунків коригування за операціями з експорту Товарів-РЕЗ" листа ДПС від 15.11.2024 № 31717/7/99-00-21-03-02-07: </w:t>
      </w:r>
    </w:p>
    <w:p w:rsidR="00A65715" w:rsidRPr="00EF6CDA" w:rsidRDefault="00A65715" w:rsidP="00A65715">
      <w:pPr>
        <w:pStyle w:val="a3"/>
        <w:spacing w:before="0" w:beforeAutospacing="0" w:after="0" w:afterAutospacing="0"/>
        <w:jc w:val="both"/>
        <w:rPr>
          <w:sz w:val="20"/>
          <w:szCs w:val="20"/>
        </w:rPr>
      </w:pPr>
      <w:r w:rsidRPr="00EF6CDA">
        <w:rPr>
          <w:sz w:val="20"/>
          <w:szCs w:val="20"/>
        </w:rPr>
        <w:t xml:space="preserve">1) п’ятий абзац </w:t>
      </w:r>
    </w:p>
    <w:p w:rsidR="00A65715" w:rsidRPr="00EF6CDA" w:rsidRDefault="00A65715" w:rsidP="00A65715">
      <w:pPr>
        <w:pStyle w:val="a3"/>
        <w:spacing w:before="0" w:beforeAutospacing="0" w:after="0" w:afterAutospacing="0"/>
        <w:jc w:val="both"/>
        <w:rPr>
          <w:sz w:val="20"/>
          <w:szCs w:val="20"/>
        </w:rPr>
      </w:pPr>
      <w:r w:rsidRPr="00EF6CDA">
        <w:rPr>
          <w:sz w:val="20"/>
          <w:szCs w:val="20"/>
        </w:rPr>
        <w:t xml:space="preserve">"РК_РЕЗ_2 може бути складений тільки на зменшення суми операції, вказаної у податковій накладній." </w:t>
      </w:r>
    </w:p>
    <w:p w:rsidR="00A65715" w:rsidRPr="00EF6CDA" w:rsidRDefault="00A65715" w:rsidP="00A65715">
      <w:pPr>
        <w:pStyle w:val="a3"/>
        <w:spacing w:before="0" w:beforeAutospacing="0" w:after="0" w:afterAutospacing="0"/>
        <w:jc w:val="both"/>
        <w:rPr>
          <w:sz w:val="20"/>
          <w:szCs w:val="20"/>
        </w:rPr>
      </w:pPr>
      <w:r w:rsidRPr="00EF6CDA">
        <w:rPr>
          <w:sz w:val="20"/>
          <w:szCs w:val="20"/>
        </w:rPr>
        <w:t xml:space="preserve">замінити абзацом такого змісту: </w:t>
      </w:r>
    </w:p>
    <w:p w:rsidR="00A65715" w:rsidRPr="00EF6CDA" w:rsidRDefault="00A65715" w:rsidP="00A65715">
      <w:pPr>
        <w:pStyle w:val="a3"/>
        <w:spacing w:before="0" w:beforeAutospacing="0" w:after="0" w:afterAutospacing="0"/>
        <w:jc w:val="both"/>
        <w:rPr>
          <w:sz w:val="20"/>
          <w:szCs w:val="20"/>
        </w:rPr>
      </w:pPr>
      <w:r w:rsidRPr="00EF6CDA">
        <w:rPr>
          <w:sz w:val="20"/>
          <w:szCs w:val="20"/>
        </w:rPr>
        <w:t xml:space="preserve">"В більшості випадків РК_РЕЗ_2 складається на зменшення суми операції, вказаної у податковій накладній"; </w:t>
      </w:r>
    </w:p>
    <w:p w:rsidR="00A65715" w:rsidRPr="00EF6CDA" w:rsidRDefault="00A65715" w:rsidP="00A65715">
      <w:pPr>
        <w:pStyle w:val="a3"/>
        <w:spacing w:before="0" w:beforeAutospacing="0" w:after="0" w:afterAutospacing="0"/>
        <w:jc w:val="both"/>
        <w:rPr>
          <w:sz w:val="20"/>
          <w:szCs w:val="20"/>
        </w:rPr>
      </w:pPr>
      <w:r w:rsidRPr="00EF6CDA">
        <w:rPr>
          <w:sz w:val="20"/>
          <w:szCs w:val="20"/>
        </w:rPr>
        <w:t xml:space="preserve">2) після п’ятого абзацу доповнити пункт новим абзацом такого змісту: </w:t>
      </w:r>
    </w:p>
    <w:p w:rsidR="00A65715" w:rsidRPr="00EF6CDA" w:rsidRDefault="00A65715" w:rsidP="00A65715">
      <w:pPr>
        <w:pStyle w:val="a3"/>
        <w:spacing w:before="0" w:beforeAutospacing="0" w:after="0" w:afterAutospacing="0"/>
        <w:jc w:val="both"/>
        <w:rPr>
          <w:sz w:val="20"/>
          <w:szCs w:val="20"/>
        </w:rPr>
      </w:pPr>
      <w:r w:rsidRPr="00EF6CDA">
        <w:rPr>
          <w:sz w:val="20"/>
          <w:szCs w:val="20"/>
        </w:rPr>
        <w:t xml:space="preserve">"Разом з тим, в окремих випадках, РК_РЕЗ_2 може бути складений на збільшення суми операції, вказаної у податковій накладній, зокрема, у разі зміни курсу валют, внаслідок чого відбулося збільшення вартості експортованого товару в гривневому еквіваленті." </w:t>
      </w:r>
    </w:p>
    <w:p w:rsidR="00636583" w:rsidRPr="00EF6CDA" w:rsidRDefault="00636583" w:rsidP="00636583">
      <w:pPr>
        <w:pStyle w:val="1"/>
        <w:spacing w:before="0" w:beforeAutospacing="0" w:after="0" w:afterAutospacing="0"/>
        <w:rPr>
          <w:sz w:val="20"/>
          <w:szCs w:val="20"/>
        </w:rPr>
      </w:pPr>
      <w:r w:rsidRPr="00EF6CDA">
        <w:rPr>
          <w:sz w:val="20"/>
          <w:szCs w:val="20"/>
        </w:rPr>
        <w:lastRenderedPageBreak/>
        <w:t>Про застосування фінансовими установами (крім страховика) ставки податку на прибуток підприємств у розмірі 25 відсотків</w:t>
      </w:r>
    </w:p>
    <w:p w:rsidR="00636583" w:rsidRPr="00EF6CDA" w:rsidRDefault="00636583" w:rsidP="00636583">
      <w:pPr>
        <w:pStyle w:val="a3"/>
        <w:spacing w:before="0" w:beforeAutospacing="0" w:after="0" w:afterAutospacing="0"/>
        <w:jc w:val="both"/>
        <w:rPr>
          <w:sz w:val="20"/>
          <w:szCs w:val="20"/>
        </w:rPr>
      </w:pPr>
      <w:r w:rsidRPr="00EF6CDA">
        <w:rPr>
          <w:sz w:val="20"/>
          <w:szCs w:val="20"/>
        </w:rPr>
        <w:t xml:space="preserve">Головне управління ДПС у Дніпропетровській області нагадує, що 01.12.2024 набрав чинності Закон України від 10 жовтня 2024 року № 4015-ІХ «Про внесення змін до Податкового кодексу України та інших законів України щодо забезпечення збалансованості бюджетних надходжень у період дії воєнного стану» (далі – Закон № 4015), яким змінено підходи до оподаткування прибутку фінансових установ (крім страхових компаній) та переглянуто ставки податку на прибуток. </w:t>
      </w:r>
    </w:p>
    <w:p w:rsidR="00636583" w:rsidRPr="00EF6CDA" w:rsidRDefault="00636583" w:rsidP="00636583">
      <w:pPr>
        <w:pStyle w:val="a3"/>
        <w:spacing w:before="0" w:beforeAutospacing="0" w:after="0" w:afterAutospacing="0"/>
        <w:jc w:val="both"/>
        <w:rPr>
          <w:sz w:val="20"/>
          <w:szCs w:val="20"/>
        </w:rPr>
      </w:pPr>
      <w:r w:rsidRPr="00EF6CDA">
        <w:rPr>
          <w:sz w:val="20"/>
          <w:szCs w:val="20"/>
        </w:rPr>
        <w:t xml:space="preserve">Новацією Закону № 4015 є, зокрема, визначення видів доходів фінансових установ (крім страхових компаній), до яких з 01.01.2025 застосовується базова (основна) ставка податку на прибуток у розмірі 25 відс. замість 18 відсотків. </w:t>
      </w:r>
    </w:p>
    <w:p w:rsidR="00636583" w:rsidRPr="00EF6CDA" w:rsidRDefault="00636583" w:rsidP="00636583">
      <w:pPr>
        <w:pStyle w:val="a3"/>
        <w:spacing w:before="0" w:beforeAutospacing="0" w:after="0" w:afterAutospacing="0"/>
        <w:jc w:val="both"/>
        <w:rPr>
          <w:sz w:val="20"/>
          <w:szCs w:val="20"/>
        </w:rPr>
      </w:pPr>
      <w:r w:rsidRPr="00EF6CDA">
        <w:rPr>
          <w:sz w:val="20"/>
          <w:szCs w:val="20"/>
        </w:rPr>
        <w:t xml:space="preserve">Положеннями нової редакції п. 136.1 прим. 1 ст. 136 Податкового кодексу України (далі – ПКУ) згідно зі змінами, внесеними Законом № 4015 (які набирають чинності з 01.01.2025), визначено види доходів за категоріями платників, до яких застосовується базова (основна) ставка податку на прибуток у розмірі 25 відс., зокрема при: </w:t>
      </w:r>
    </w:p>
    <w:p w:rsidR="00636583" w:rsidRPr="00EF6CDA" w:rsidRDefault="00636583" w:rsidP="00636583">
      <w:pPr>
        <w:pStyle w:val="a3"/>
        <w:spacing w:before="0" w:beforeAutospacing="0" w:after="0" w:afterAutospacing="0"/>
        <w:jc w:val="both"/>
        <w:rPr>
          <w:sz w:val="20"/>
          <w:szCs w:val="20"/>
        </w:rPr>
      </w:pPr>
      <w:r w:rsidRPr="00EF6CDA">
        <w:rPr>
          <w:sz w:val="20"/>
          <w:szCs w:val="20"/>
        </w:rPr>
        <w:t xml:space="preserve">- оподаткуванні прибутку фінансової установи (крім страховика), у порядку, встановленому п.п. 134.1.1 п. 134.1 ст. 134 ПКУ; </w:t>
      </w:r>
    </w:p>
    <w:p w:rsidR="00636583" w:rsidRPr="00EF6CDA" w:rsidRDefault="00636583" w:rsidP="00636583">
      <w:pPr>
        <w:pStyle w:val="a3"/>
        <w:spacing w:before="0" w:beforeAutospacing="0" w:after="0" w:afterAutospacing="0"/>
        <w:jc w:val="both"/>
        <w:rPr>
          <w:sz w:val="20"/>
          <w:szCs w:val="20"/>
        </w:rPr>
      </w:pPr>
      <w:r w:rsidRPr="00EF6CDA">
        <w:rPr>
          <w:sz w:val="20"/>
          <w:szCs w:val="20"/>
        </w:rPr>
        <w:t xml:space="preserve">- оподаткуванні скоригованого прибутку контрольованої іноземної компанії фінансової установи (крім страховика), визначеного відповідно до ст. 39 прим. 2 ПКУ; </w:t>
      </w:r>
    </w:p>
    <w:p w:rsidR="00636583" w:rsidRPr="00EF6CDA" w:rsidRDefault="00636583" w:rsidP="00636583">
      <w:pPr>
        <w:pStyle w:val="a3"/>
        <w:spacing w:before="0" w:beforeAutospacing="0" w:after="0" w:afterAutospacing="0"/>
        <w:jc w:val="both"/>
        <w:rPr>
          <w:sz w:val="20"/>
          <w:szCs w:val="20"/>
        </w:rPr>
      </w:pPr>
      <w:r w:rsidRPr="00EF6CDA">
        <w:rPr>
          <w:sz w:val="20"/>
          <w:szCs w:val="20"/>
        </w:rPr>
        <w:t xml:space="preserve">- застосуванні положень п. 57.1 прим. 1 ст. 57 ПКУ для виплати дивідендів фінансовою установою (крім страховика). </w:t>
      </w:r>
    </w:p>
    <w:p w:rsidR="00636583" w:rsidRPr="00EF6CDA" w:rsidRDefault="00636583" w:rsidP="00636583">
      <w:pPr>
        <w:pStyle w:val="a3"/>
        <w:spacing w:before="0" w:beforeAutospacing="0" w:after="0" w:afterAutospacing="0"/>
        <w:jc w:val="both"/>
        <w:rPr>
          <w:sz w:val="20"/>
          <w:szCs w:val="20"/>
        </w:rPr>
      </w:pPr>
      <w:r w:rsidRPr="00EF6CDA">
        <w:rPr>
          <w:sz w:val="20"/>
          <w:szCs w:val="20"/>
        </w:rPr>
        <w:t>Відповідні роз’яснення наведені в Інформаційному листі № 8/2024 «Щодо окремих змін до Податкового кодексу України, внесених Законом України «Про внесення змін до Податкового кодексу України та інших законів України щодо забезпечення збалансованості бюджетних надходжень у період дії воєнного стану», щодо запровадження сплати авансових внесків з податку на прибуток підприємств та податку на доходи фізичних осіб з пунктів роздрібної торгівлі пальним та оподаткування податком на прибуток банків та інших фінансових установ», розміщеному на вебпорталі ДПС: Головна/Пресцентр/Новини (</w:t>
      </w:r>
      <w:hyperlink r:id="rId6" w:history="1">
        <w:r w:rsidRPr="00EF6CDA">
          <w:rPr>
            <w:rStyle w:val="a4"/>
            <w:sz w:val="20"/>
            <w:szCs w:val="20"/>
          </w:rPr>
          <w:t>https://www.tax.gov.ua/media-tsentr/novini/846662.html)</w:t>
        </w:r>
      </w:hyperlink>
      <w:r w:rsidRPr="00EF6CDA">
        <w:rPr>
          <w:sz w:val="20"/>
          <w:szCs w:val="20"/>
        </w:rPr>
        <w:t xml:space="preserve">. </w:t>
      </w:r>
    </w:p>
    <w:p w:rsidR="00636583" w:rsidRPr="00EF6CDA" w:rsidRDefault="00636583" w:rsidP="00636583">
      <w:pPr>
        <w:pStyle w:val="a3"/>
        <w:spacing w:before="0" w:beforeAutospacing="0" w:after="0" w:afterAutospacing="0"/>
        <w:jc w:val="both"/>
        <w:rPr>
          <w:sz w:val="20"/>
          <w:szCs w:val="20"/>
        </w:rPr>
      </w:pPr>
      <w:r w:rsidRPr="00EF6CDA">
        <w:rPr>
          <w:sz w:val="20"/>
          <w:szCs w:val="20"/>
        </w:rPr>
        <w:t xml:space="preserve">  </w:t>
      </w:r>
    </w:p>
    <w:p w:rsidR="00636583" w:rsidRPr="00EF6CDA" w:rsidRDefault="00636583" w:rsidP="00636583">
      <w:pPr>
        <w:spacing w:after="0" w:line="240" w:lineRule="auto"/>
        <w:outlineLvl w:val="0"/>
        <w:rPr>
          <w:rFonts w:ascii="Times New Roman" w:eastAsia="Times New Roman" w:hAnsi="Times New Roman"/>
          <w:b/>
          <w:bCs/>
          <w:kern w:val="36"/>
          <w:sz w:val="20"/>
          <w:szCs w:val="20"/>
          <w:lang w:eastAsia="ru-RU"/>
        </w:rPr>
      </w:pPr>
      <w:r w:rsidRPr="00EF6CDA">
        <w:rPr>
          <w:rFonts w:ascii="Times New Roman" w:eastAsia="Times New Roman" w:hAnsi="Times New Roman"/>
          <w:b/>
          <w:bCs/>
          <w:kern w:val="36"/>
          <w:sz w:val="20"/>
          <w:szCs w:val="20"/>
          <w:lang w:eastAsia="ru-RU"/>
        </w:rPr>
        <w:t>Операцій з вивезення за межі митної території України у митному режимі експорту окремих видів товарів: за якою датою складається ПН?</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Головне управління ДПС у Дніпропетровській області інформує.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Підпунктами 97.1, 97.2 п. 97 підрозд. 2 розд. ХХ Податкового кодексу України передбачено, що платник ПДВ з метою вивезення за межі митної території України у митному режимі експорту з метою вивезення за межі митної території України окремих видів товарів зобов’язаний за кожним таким товаром скласти окрему податкову накладну та зареєструвати її в Єдиному реєстрі податкових накладних до дня подання митної декларації для митного оформлення таких товарів.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Дата складання такої податкової накладної не може бути меншою за дату, визначену в постанові Кабінету Міністрів України від 29 жовтня 2024 року № 1261 «Про запровадження режиму експортного забезпечення» (01.12.2024). </w:t>
      </w:r>
    </w:p>
    <w:p w:rsidR="008D5BB3" w:rsidRDefault="008D5BB3" w:rsidP="00EE45E3">
      <w:pPr>
        <w:pStyle w:val="1"/>
        <w:spacing w:before="0" w:beforeAutospacing="0" w:after="0" w:afterAutospacing="0"/>
        <w:rPr>
          <w:sz w:val="20"/>
          <w:szCs w:val="20"/>
          <w:lang w:val="uk-UA"/>
        </w:rPr>
      </w:pPr>
    </w:p>
    <w:p w:rsidR="00EE45E3" w:rsidRPr="00EF6CDA" w:rsidRDefault="00EE45E3" w:rsidP="00EE45E3">
      <w:pPr>
        <w:pStyle w:val="1"/>
        <w:spacing w:before="0" w:beforeAutospacing="0" w:after="0" w:afterAutospacing="0"/>
        <w:rPr>
          <w:sz w:val="20"/>
          <w:szCs w:val="20"/>
        </w:rPr>
      </w:pPr>
      <w:r w:rsidRPr="00EF6CDA">
        <w:rPr>
          <w:sz w:val="20"/>
          <w:szCs w:val="20"/>
        </w:rPr>
        <w:t>Розділ «Онлайн-навчання» доповнено новими матеріалами для платників</w:t>
      </w:r>
    </w:p>
    <w:p w:rsidR="00EE45E3" w:rsidRPr="00EF6CDA" w:rsidRDefault="00EE45E3" w:rsidP="00EE45E3">
      <w:pPr>
        <w:pStyle w:val="a3"/>
        <w:spacing w:before="0" w:beforeAutospacing="0" w:after="0" w:afterAutospacing="0"/>
        <w:jc w:val="both"/>
        <w:rPr>
          <w:sz w:val="20"/>
          <w:szCs w:val="20"/>
        </w:rPr>
      </w:pPr>
      <w:r w:rsidRPr="00EF6CDA">
        <w:rPr>
          <w:sz w:val="20"/>
          <w:szCs w:val="20"/>
        </w:rPr>
        <w:t>У розділі «</w:t>
      </w:r>
      <w:hyperlink r:id="rId7" w:history="1">
        <w:r w:rsidRPr="00EF6CDA">
          <w:rPr>
            <w:rStyle w:val="a4"/>
            <w:sz w:val="20"/>
            <w:szCs w:val="20"/>
          </w:rPr>
          <w:t>Онлайн-навчання</w:t>
        </w:r>
      </w:hyperlink>
      <w:r w:rsidRPr="00EF6CDA">
        <w:rPr>
          <w:sz w:val="20"/>
          <w:szCs w:val="20"/>
        </w:rPr>
        <w:t xml:space="preserve">» на вебпорталі ДПС, який містить корисну інформацію з податкової тематики, навички заповнення податкової звітності та розуміння оптимальних механізмів сплати, розміщено нові матеріали. </w:t>
      </w:r>
    </w:p>
    <w:p w:rsidR="00EE45E3" w:rsidRPr="00EF6CDA" w:rsidRDefault="00EE45E3" w:rsidP="00EE45E3">
      <w:pPr>
        <w:pStyle w:val="a3"/>
        <w:spacing w:before="0" w:beforeAutospacing="0" w:after="0" w:afterAutospacing="0"/>
        <w:jc w:val="both"/>
        <w:rPr>
          <w:sz w:val="20"/>
          <w:szCs w:val="20"/>
        </w:rPr>
      </w:pPr>
      <w:r w:rsidRPr="00EF6CDA">
        <w:rPr>
          <w:sz w:val="20"/>
          <w:szCs w:val="20"/>
        </w:rPr>
        <w:t>У підрозділі «</w:t>
      </w:r>
      <w:hyperlink r:id="rId8" w:history="1">
        <w:r w:rsidRPr="00EF6CDA">
          <w:rPr>
            <w:rStyle w:val="a4"/>
            <w:sz w:val="20"/>
            <w:szCs w:val="20"/>
          </w:rPr>
          <w:t>Податок на додану вартість</w:t>
        </w:r>
      </w:hyperlink>
      <w:r w:rsidRPr="00EF6CDA">
        <w:rPr>
          <w:sz w:val="20"/>
          <w:szCs w:val="20"/>
        </w:rPr>
        <w:t xml:space="preserve">» розміщено матеріали: </w:t>
      </w:r>
    </w:p>
    <w:p w:rsidR="00EE45E3" w:rsidRPr="00EF6CDA" w:rsidRDefault="00EE45E3" w:rsidP="00EE45E3">
      <w:pPr>
        <w:pStyle w:val="a3"/>
        <w:spacing w:before="0" w:beforeAutospacing="0" w:after="0" w:afterAutospacing="0"/>
        <w:jc w:val="both"/>
        <w:rPr>
          <w:sz w:val="20"/>
          <w:szCs w:val="20"/>
        </w:rPr>
      </w:pPr>
      <w:r w:rsidRPr="00EF6CDA">
        <w:rPr>
          <w:sz w:val="20"/>
          <w:szCs w:val="20"/>
        </w:rPr>
        <w:t>«</w:t>
      </w:r>
      <w:hyperlink r:id="rId9" w:history="1">
        <w:r w:rsidRPr="00EF6CDA">
          <w:rPr>
            <w:rStyle w:val="a4"/>
            <w:sz w:val="20"/>
            <w:szCs w:val="20"/>
          </w:rPr>
          <w:t>Нове відео від ДПС: «Декларування суми податку на додану вартість до бюджетного відшкодування»</w:t>
        </w:r>
      </w:hyperlink>
      <w:r w:rsidRPr="00EF6CDA">
        <w:rPr>
          <w:sz w:val="20"/>
          <w:szCs w:val="20"/>
        </w:rPr>
        <w:t xml:space="preserve">»; </w:t>
      </w:r>
    </w:p>
    <w:p w:rsidR="00EE45E3" w:rsidRPr="00EF6CDA" w:rsidRDefault="00EE45E3" w:rsidP="00EE45E3">
      <w:pPr>
        <w:pStyle w:val="a3"/>
        <w:spacing w:before="0" w:beforeAutospacing="0" w:after="0" w:afterAutospacing="0"/>
        <w:jc w:val="both"/>
        <w:rPr>
          <w:sz w:val="20"/>
          <w:szCs w:val="20"/>
        </w:rPr>
      </w:pPr>
      <w:r w:rsidRPr="00EF6CDA">
        <w:rPr>
          <w:sz w:val="20"/>
          <w:szCs w:val="20"/>
        </w:rPr>
        <w:t>«</w:t>
      </w:r>
      <w:hyperlink r:id="rId10" w:history="1">
        <w:r w:rsidRPr="00EF6CDA">
          <w:rPr>
            <w:rStyle w:val="a4"/>
            <w:sz w:val="20"/>
            <w:szCs w:val="20"/>
          </w:rPr>
          <w:t>До уваги платників! Щодо заповнення таблиці 1 додатку 2 до податкової декларації з ПДВ</w:t>
        </w:r>
      </w:hyperlink>
      <w:r w:rsidRPr="00EF6CDA">
        <w:rPr>
          <w:sz w:val="20"/>
          <w:szCs w:val="20"/>
        </w:rPr>
        <w:t xml:space="preserve">». </w:t>
      </w:r>
    </w:p>
    <w:p w:rsidR="00EE45E3" w:rsidRPr="00EF6CDA" w:rsidRDefault="00EE45E3" w:rsidP="00EE45E3">
      <w:pPr>
        <w:pStyle w:val="a3"/>
        <w:spacing w:before="0" w:beforeAutospacing="0" w:after="0" w:afterAutospacing="0"/>
        <w:jc w:val="both"/>
        <w:rPr>
          <w:sz w:val="20"/>
          <w:szCs w:val="20"/>
        </w:rPr>
      </w:pPr>
      <w:r w:rsidRPr="00EF6CDA">
        <w:rPr>
          <w:sz w:val="20"/>
          <w:szCs w:val="20"/>
        </w:rPr>
        <w:t>Підрозділ «</w:t>
      </w:r>
      <w:hyperlink r:id="rId11" w:history="1">
        <w:r w:rsidRPr="00EF6CDA">
          <w:rPr>
            <w:rStyle w:val="a4"/>
            <w:sz w:val="20"/>
            <w:szCs w:val="20"/>
          </w:rPr>
          <w:t>Екологічний податок</w:t>
        </w:r>
      </w:hyperlink>
      <w:r w:rsidRPr="00EF6CDA">
        <w:rPr>
          <w:sz w:val="20"/>
          <w:szCs w:val="20"/>
        </w:rPr>
        <w:t>» доповнено відеоматеріалом «</w:t>
      </w:r>
      <w:hyperlink r:id="rId12" w:history="1">
        <w:r w:rsidRPr="00EF6CDA">
          <w:rPr>
            <w:rStyle w:val="a4"/>
            <w:sz w:val="20"/>
            <w:szCs w:val="20"/>
          </w:rPr>
          <w:t>ДПС розроблено відеоролик «Заповнення податкової декларації екологічного податку»</w:t>
        </w:r>
      </w:hyperlink>
      <w:r w:rsidRPr="00EF6CDA">
        <w:rPr>
          <w:sz w:val="20"/>
          <w:szCs w:val="20"/>
        </w:rPr>
        <w:t xml:space="preserve">». </w:t>
      </w:r>
    </w:p>
    <w:p w:rsidR="00EE45E3" w:rsidRPr="00EF6CDA" w:rsidRDefault="00EE45E3" w:rsidP="00EE45E3">
      <w:pPr>
        <w:pStyle w:val="a3"/>
        <w:spacing w:before="0" w:beforeAutospacing="0" w:after="0" w:afterAutospacing="0"/>
        <w:jc w:val="both"/>
        <w:rPr>
          <w:sz w:val="20"/>
          <w:szCs w:val="20"/>
        </w:rPr>
      </w:pPr>
      <w:r w:rsidRPr="00EF6CDA">
        <w:rPr>
          <w:sz w:val="20"/>
          <w:szCs w:val="20"/>
        </w:rPr>
        <w:t xml:space="preserve">Розділ «Онлайн-навчання» мобільний. Він доповнюється новими підрозділами відповідно до потреб платників податків. Вся інформація викладена у відео, презентаційних та текстових матеріалах, які постійно оновлюються та доповнюються. </w:t>
      </w:r>
    </w:p>
    <w:p w:rsidR="00EE45E3" w:rsidRPr="00EF6CDA" w:rsidRDefault="00EE45E3" w:rsidP="00EE45E3">
      <w:pPr>
        <w:pStyle w:val="a3"/>
        <w:spacing w:before="0" w:beforeAutospacing="0" w:after="0" w:afterAutospacing="0"/>
        <w:jc w:val="both"/>
        <w:rPr>
          <w:sz w:val="20"/>
          <w:szCs w:val="20"/>
        </w:rPr>
      </w:pPr>
      <w:r w:rsidRPr="00EF6CDA">
        <w:rPr>
          <w:sz w:val="20"/>
          <w:szCs w:val="20"/>
        </w:rPr>
        <w:t xml:space="preserve">Загалом на сьогодні розділ «Онлайн-навчання» містить понад 350 відео, текстових та презентаційних матеріалів. </w:t>
      </w:r>
    </w:p>
    <w:p w:rsidR="008D5BB3" w:rsidRDefault="008D5BB3" w:rsidP="00EE45E3">
      <w:pPr>
        <w:spacing w:after="0" w:line="240" w:lineRule="auto"/>
        <w:outlineLvl w:val="0"/>
        <w:rPr>
          <w:rFonts w:ascii="Times New Roman" w:eastAsia="Times New Roman" w:hAnsi="Times New Roman"/>
          <w:b/>
          <w:bCs/>
          <w:kern w:val="36"/>
          <w:sz w:val="20"/>
          <w:szCs w:val="20"/>
          <w:lang w:val="uk-UA" w:eastAsia="ru-RU"/>
        </w:rPr>
      </w:pPr>
    </w:p>
    <w:p w:rsidR="00EE45E3" w:rsidRPr="00EF6CDA" w:rsidRDefault="00EE45E3" w:rsidP="00EE45E3">
      <w:pPr>
        <w:spacing w:after="0" w:line="240" w:lineRule="auto"/>
        <w:outlineLvl w:val="0"/>
        <w:rPr>
          <w:rFonts w:ascii="Times New Roman" w:eastAsia="Times New Roman" w:hAnsi="Times New Roman"/>
          <w:b/>
          <w:bCs/>
          <w:kern w:val="36"/>
          <w:sz w:val="20"/>
          <w:szCs w:val="20"/>
          <w:lang w:eastAsia="ru-RU"/>
        </w:rPr>
      </w:pPr>
      <w:r w:rsidRPr="00EF6CDA">
        <w:rPr>
          <w:rFonts w:ascii="Times New Roman" w:eastAsia="Times New Roman" w:hAnsi="Times New Roman"/>
          <w:b/>
          <w:bCs/>
          <w:kern w:val="36"/>
          <w:sz w:val="20"/>
          <w:szCs w:val="20"/>
          <w:lang w:eastAsia="ru-RU"/>
        </w:rPr>
        <w:t>Особливості заповнення таблиць 1 та 2 додатка 4 (Д4) до податкової декларації з ПДВ</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Головне управління ДПС у Дніпропетровській області звертає увагу, що порядок заповнення і подання податкової звітності з ПДВ, затверджений наказом Міністерства фінансів України від 28.01.2016 № 21 (далі – Порядок № 21).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Відповідно до п.п. 6 п. 3 розд. V Порядку № 21 </w:t>
      </w:r>
      <w:proofErr w:type="gramStart"/>
      <w:r w:rsidRPr="00EF6CDA">
        <w:rPr>
          <w:rFonts w:ascii="Times New Roman" w:eastAsia="Times New Roman" w:hAnsi="Times New Roman"/>
          <w:sz w:val="20"/>
          <w:szCs w:val="20"/>
          <w:lang w:eastAsia="ru-RU"/>
        </w:rPr>
        <w:t>у рядку</w:t>
      </w:r>
      <w:proofErr w:type="gramEnd"/>
      <w:r w:rsidRPr="00EF6CDA">
        <w:rPr>
          <w:rFonts w:ascii="Times New Roman" w:eastAsia="Times New Roman" w:hAnsi="Times New Roman"/>
          <w:sz w:val="20"/>
          <w:szCs w:val="20"/>
          <w:lang w:eastAsia="ru-RU"/>
        </w:rPr>
        <w:t xml:space="preserve"> 5 податкової декларації з ПДВ (далі – декларація) вказуються обсяги операцій з: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постачання товарів/послуг, що не є об’єктом оподаткування;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lastRenderedPageBreak/>
        <w:t xml:space="preserve">- постачання послуг за межами митної території України та послуг, що здійснюються за межами митної території України, з урахуванням їх місця постачання відповідно до пунктів 186.2 та 186.3 ст. 186 Податкового кодексу України (далі – ПКУ);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постачання товарів/послуг, звільнених від оподаткування та коригування за такими операціями.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Для платників податку, які заповнюють рядок 5, підприємств (організацій) осіб з інвалідністю та платників податків, які одночасно відповідають критеріям, визначеним п. 68 підрозд. 10 розд. XX «Перехідні положення» ПКУ, обов’язковим є подання Додатка 4 «Розрахунок сум податку на додану вартість, не сплачених суб’єктом господарювання </w:t>
      </w:r>
      <w:proofErr w:type="gramStart"/>
      <w:r w:rsidRPr="00EF6CDA">
        <w:rPr>
          <w:rFonts w:ascii="Times New Roman" w:eastAsia="Times New Roman" w:hAnsi="Times New Roman"/>
          <w:sz w:val="20"/>
          <w:szCs w:val="20"/>
          <w:lang w:eastAsia="ru-RU"/>
        </w:rPr>
        <w:t>до бюджету</w:t>
      </w:r>
      <w:proofErr w:type="gramEnd"/>
      <w:r w:rsidRPr="00EF6CDA">
        <w:rPr>
          <w:rFonts w:ascii="Times New Roman" w:eastAsia="Times New Roman" w:hAnsi="Times New Roman"/>
          <w:sz w:val="20"/>
          <w:szCs w:val="20"/>
          <w:lang w:eastAsia="ru-RU"/>
        </w:rPr>
        <w:t xml:space="preserve"> у зв’язку з отриманням податкових пільг, та/або показників, відповідно до яких підприємства (організації) належать до підприємства (організації) осіб з інвалідністю, та окремих показників, визначених пунктом 68 підрозділу 10 розділу ХХ «Перехідні положення Кодексу (Д4)» (далі – Додаток 4) до декларації. </w:t>
      </w:r>
    </w:p>
    <w:p w:rsidR="00EE45E3" w:rsidRPr="00EF6CDA" w:rsidRDefault="00EE45E3" w:rsidP="00EE45E3">
      <w:pPr>
        <w:spacing w:after="0" w:line="240" w:lineRule="auto"/>
        <w:jc w:val="both"/>
        <w:rPr>
          <w:rFonts w:ascii="Times New Roman" w:eastAsia="Times New Roman" w:hAnsi="Times New Roman"/>
          <w:sz w:val="20"/>
          <w:szCs w:val="20"/>
          <w:lang w:eastAsia="ru-RU"/>
        </w:rPr>
      </w:pPr>
      <w:proofErr w:type="gramStart"/>
      <w:r w:rsidRPr="00EF6CDA">
        <w:rPr>
          <w:rFonts w:ascii="Times New Roman" w:eastAsia="Times New Roman" w:hAnsi="Times New Roman"/>
          <w:sz w:val="20"/>
          <w:szCs w:val="20"/>
          <w:lang w:eastAsia="ru-RU"/>
        </w:rPr>
        <w:t>У рядку</w:t>
      </w:r>
      <w:proofErr w:type="gramEnd"/>
      <w:r w:rsidRPr="00EF6CDA">
        <w:rPr>
          <w:rFonts w:ascii="Times New Roman" w:eastAsia="Times New Roman" w:hAnsi="Times New Roman"/>
          <w:sz w:val="20"/>
          <w:szCs w:val="20"/>
          <w:lang w:eastAsia="ru-RU"/>
        </w:rPr>
        <w:t xml:space="preserve"> 5.1 (з рядка 5) декларації вказуються обсяги операцій (з урахуванням коригування), які звільнені від оподаткування. Коригування обсягів за такими операціями окремо відображається </w:t>
      </w:r>
      <w:proofErr w:type="gramStart"/>
      <w:r w:rsidRPr="00EF6CDA">
        <w:rPr>
          <w:rFonts w:ascii="Times New Roman" w:eastAsia="Times New Roman" w:hAnsi="Times New Roman"/>
          <w:sz w:val="20"/>
          <w:szCs w:val="20"/>
          <w:lang w:eastAsia="ru-RU"/>
        </w:rPr>
        <w:t>у рядку</w:t>
      </w:r>
      <w:proofErr w:type="gramEnd"/>
      <w:r w:rsidRPr="00EF6CDA">
        <w:rPr>
          <w:rFonts w:ascii="Times New Roman" w:eastAsia="Times New Roman" w:hAnsi="Times New Roman"/>
          <w:sz w:val="20"/>
          <w:szCs w:val="20"/>
          <w:lang w:eastAsia="ru-RU"/>
        </w:rPr>
        <w:t xml:space="preserve"> 5.1.1.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Додаток 4 до декларації заповнюється в розрізі операцій, що не є об’єктом оподаткування, звільнених від оподаткування, операцій з постачання послуг, що здійснюються за межами митної території України, з урахуванням їх місця постачання відповідно до ст. 186 ПКУ.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Таблиця 1 Додатка 4 заповнюється в розрізі операцій, що не є об’єктом оподаткування, операцій з постачання послуг за межами митної території України та послуг, місце постачання яких визначено відповідно до пп. 186.2, 186.3 ст. 186 ПКУ за межами митної території України наступним чином: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у графі 2 відображається назва операції, що відповідає наведеним у відповідних пунктів 186.2 та 186.3 ст. 186 ПКУ;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у графі 3 – норма ПКУ (підпункт, пункт та стаття ПКУ), за якою операції відносяться до таких, що не є об’єктом оподаткування, операцій з постачання послуг за межами митної території України та послуг, місце постачання яких визначено відповідно до пунктів 186.2 та 186.3 ст. 186 ПКУ за межами митної території України;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у графі 4 – обсяг постачання (загальною сумою за звітний період без розшифровки в розрізі контрагентів) по такій операції.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Таблиця 2 Додатка 4 заповнюється у разі здійснення у звітному (податковому) періоді операцій з постачання товарів/послуг, що звільнені від оподаткування ПДВ, у розрізі податкових пільг, які використовуються платником податку, відповідно </w:t>
      </w:r>
      <w:proofErr w:type="gramStart"/>
      <w:r w:rsidRPr="00EF6CDA">
        <w:rPr>
          <w:rFonts w:ascii="Times New Roman" w:eastAsia="Times New Roman" w:hAnsi="Times New Roman"/>
          <w:sz w:val="20"/>
          <w:szCs w:val="20"/>
          <w:lang w:eastAsia="ru-RU"/>
        </w:rPr>
        <w:t>до коду</w:t>
      </w:r>
      <w:proofErr w:type="gramEnd"/>
      <w:r w:rsidRPr="00EF6CDA">
        <w:rPr>
          <w:rFonts w:ascii="Times New Roman" w:eastAsia="Times New Roman" w:hAnsi="Times New Roman"/>
          <w:sz w:val="20"/>
          <w:szCs w:val="20"/>
          <w:lang w:eastAsia="ru-RU"/>
        </w:rPr>
        <w:t xml:space="preserve"> пільги, визначеного згідно з довідником пільг.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Дані щодо найменування та коду відповідної податкової пільги згідно з довідниками пільг вказуються в графах 2 «Найменування податкової пільги» та 3 «Код податкової пільги згідно з довідником пільг» таблиці 2 Додатка 4.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Довідники пільг розміщено на вебпорталі ДПС в рубриці Головна/Довідники, Реєстри, Переліки/Довідники/Довідники пільг за посиланням: https://tax.gov.ua/dovidniki--reestri--perelik/dovidniki-/54005.html.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У разі відсутності коду пільги у довідниках податкових пільг станом на дату подання декларації у графі 3 таблиці 2 Додатка 4 проставляється умовний код «99999999».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Інші графи таблиці 2 Додатка 4 заповнюються наступним чином: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у графі 4 зазначається сума податку на додану вартість, несплачена </w:t>
      </w:r>
      <w:proofErr w:type="gramStart"/>
      <w:r w:rsidRPr="00EF6CDA">
        <w:rPr>
          <w:rFonts w:ascii="Times New Roman" w:eastAsia="Times New Roman" w:hAnsi="Times New Roman"/>
          <w:sz w:val="20"/>
          <w:szCs w:val="20"/>
          <w:lang w:eastAsia="ru-RU"/>
        </w:rPr>
        <w:t>до бюджету</w:t>
      </w:r>
      <w:proofErr w:type="gramEnd"/>
      <w:r w:rsidRPr="00EF6CDA">
        <w:rPr>
          <w:rFonts w:ascii="Times New Roman" w:eastAsia="Times New Roman" w:hAnsi="Times New Roman"/>
          <w:sz w:val="20"/>
          <w:szCs w:val="20"/>
          <w:lang w:eastAsia="ru-RU"/>
        </w:rPr>
        <w:t xml:space="preserve"> у зв’язку з отриманням податкової пільги. У разі, якщо така сума має від’ємне значення, графа 4 не заповнюється;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у графі 5 – обсяги звільнених від оподаткування операцій з постачання товарів/послуг у розрізі пільг.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Значення графи 5 таблиці 2 Додатка 4 рядка «Усього ****» переноситься до рядків 5 та 5.1 декларації. </w:t>
      </w:r>
    </w:p>
    <w:p w:rsidR="00EE45E3" w:rsidRPr="00EF6CDA" w:rsidRDefault="00EE45E3" w:rsidP="00EE45E3">
      <w:pPr>
        <w:spacing w:after="0" w:line="240" w:lineRule="auto"/>
        <w:jc w:val="both"/>
        <w:rPr>
          <w:rFonts w:ascii="Times New Roman" w:eastAsia="Times New Roman" w:hAnsi="Times New Roman"/>
          <w:sz w:val="20"/>
          <w:szCs w:val="20"/>
          <w:lang w:eastAsia="ru-RU"/>
        </w:rPr>
      </w:pPr>
      <w:proofErr w:type="gramStart"/>
      <w:r w:rsidRPr="00EF6CDA">
        <w:rPr>
          <w:rFonts w:ascii="Times New Roman" w:eastAsia="Times New Roman" w:hAnsi="Times New Roman"/>
          <w:sz w:val="20"/>
          <w:szCs w:val="20"/>
          <w:lang w:eastAsia="ru-RU"/>
        </w:rPr>
        <w:t>У графах</w:t>
      </w:r>
      <w:proofErr w:type="gramEnd"/>
      <w:r w:rsidRPr="00EF6CDA">
        <w:rPr>
          <w:rFonts w:ascii="Times New Roman" w:eastAsia="Times New Roman" w:hAnsi="Times New Roman"/>
          <w:sz w:val="20"/>
          <w:szCs w:val="20"/>
          <w:lang w:eastAsia="ru-RU"/>
        </w:rPr>
        <w:t xml:space="preserve"> 6 – 9 таблиці 2 Додатка 4 відображаються обсяги операцій з придбання товарів/послуг, які придбані у поточному та попередніх звітних (податкових) періодах, які у поточному звітному (податковому) періоді використані в пільгових операціях з постачання товарів/послуг, за ставками 20 відс., 7 відс., 0 відс. або 14 відсотків.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У разі використання у поточному звітному (податковому) періоді придбаних товарів/послуг одночасно у декількох звільнених від оподаткування операціях, </w:t>
      </w:r>
      <w:proofErr w:type="gramStart"/>
      <w:r w:rsidRPr="00EF6CDA">
        <w:rPr>
          <w:rFonts w:ascii="Times New Roman" w:eastAsia="Times New Roman" w:hAnsi="Times New Roman"/>
          <w:sz w:val="20"/>
          <w:szCs w:val="20"/>
          <w:lang w:eastAsia="ru-RU"/>
        </w:rPr>
        <w:t>у графах</w:t>
      </w:r>
      <w:proofErr w:type="gramEnd"/>
      <w:r w:rsidRPr="00EF6CDA">
        <w:rPr>
          <w:rFonts w:ascii="Times New Roman" w:eastAsia="Times New Roman" w:hAnsi="Times New Roman"/>
          <w:sz w:val="20"/>
          <w:szCs w:val="20"/>
          <w:lang w:eastAsia="ru-RU"/>
        </w:rPr>
        <w:t xml:space="preserve"> 6 – 9 таблиці 2 Додатка 4 вказуються обсяги придбання таких товарів/послуг пропорційно їх використанню у відповідних пільгових операціях. </w:t>
      </w:r>
    </w:p>
    <w:p w:rsidR="008D5BB3" w:rsidRDefault="008D5BB3" w:rsidP="00636583">
      <w:pPr>
        <w:spacing w:after="0" w:line="240" w:lineRule="auto"/>
        <w:outlineLvl w:val="0"/>
        <w:rPr>
          <w:rFonts w:ascii="Times New Roman" w:eastAsia="Times New Roman" w:hAnsi="Times New Roman"/>
          <w:b/>
          <w:bCs/>
          <w:kern w:val="36"/>
          <w:sz w:val="20"/>
          <w:szCs w:val="20"/>
          <w:lang w:val="uk-UA" w:eastAsia="ru-RU"/>
        </w:rPr>
      </w:pPr>
    </w:p>
    <w:p w:rsidR="00636583" w:rsidRPr="00EF6CDA" w:rsidRDefault="00636583" w:rsidP="00636583">
      <w:pPr>
        <w:spacing w:after="0" w:line="240" w:lineRule="auto"/>
        <w:outlineLvl w:val="0"/>
        <w:rPr>
          <w:rFonts w:ascii="Times New Roman" w:eastAsia="Times New Roman" w:hAnsi="Times New Roman"/>
          <w:b/>
          <w:bCs/>
          <w:kern w:val="36"/>
          <w:sz w:val="20"/>
          <w:szCs w:val="20"/>
          <w:lang w:eastAsia="ru-RU"/>
        </w:rPr>
      </w:pPr>
      <w:r w:rsidRPr="00EF6CDA">
        <w:rPr>
          <w:rFonts w:ascii="Times New Roman" w:eastAsia="Times New Roman" w:hAnsi="Times New Roman"/>
          <w:b/>
          <w:bCs/>
          <w:kern w:val="36"/>
          <w:sz w:val="20"/>
          <w:szCs w:val="20"/>
          <w:lang w:eastAsia="ru-RU"/>
        </w:rPr>
        <w:t>До уваги платників орендної плати за землю!</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Головне управління ДПС у Дніпропетровській області повідомляє.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Чи нараховується орендна плата за договорами оренди земельних ділянок державної і комунальної власності, які забруднені вибухонебезпечними предметами і обстежені операторами протимінної діяльності та/або які непридатні для використання у зв’язку з потенційною загрозою їх забруднення вибухонебезпечними предметами та чи подаються при цьому податкові декларації з плати за землю?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Відповідно до п.п. 10.1.1 п. 10.1 ст. 10 та п.п. 265.1.3 п. 265.1 ст. 265 Податкового кодексу України (далі – ПКУ) плата за землю у складі податку на майно належить до місцевих податків.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Плата за землю – обов’язковий платіж у складі податку на майно, що справляється у формі земельного податку або орендної плати за земельні ділянки державної і комунальної власності (далі – орендна плата) (п.п. 14.1.147 п. 14.1 ст. 14 ПКУ).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lastRenderedPageBreak/>
        <w:t xml:space="preserve">Згідно з абзацом першим п.п. 12.3.7 п. 12.3 ст. 12 ПКУ не дозволяється сільським, селищним, міським радам встановлювати індивідуальні пільгові ставки місцевих податків та зборів для окремих юридичних осіб та фізичних осіб – підприємців і фізичних осіб або звільняти їх від сплати таких податків та зборів.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При цьому дія абзацу першого п.п. 12.3.7 п. 12.3 ст. 12 ПКУ не поширюється на прийняття сільськими, селищними, міськими радами, військовими адміністраціями та військово-цивільними адміністраціями рішень про встановлення податкових пільг зі сплати місцевих податків та/або зборів на підставі заяв платників податків про визнання земельних ділянок непридатними для використання у зв’язку з потенційною загрозою їх забруднення вибухонебезпечними предметами (з обов’язковим зазначенням кадастрових номерів таких земельних ділянок), а також про внесення змін до таких рішень (абзац другий п.п. 12.3.7 п. 12.3 ст. 12 ПКУ).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Рішення про встановлення податкових пільг зі сплати місцевих податків та/або зборів на підставі заяв платників податків про визнання земельних ділянок непридатними для використання у зв’язку з потенційною загрозою їх забруднення вибухонебезпечними предметами повинні прийматися на кожний календарний рік окремо, за умови наявності відповідних заяв платників податків, та на період не більше ніж до кінця поточного календарного року (абзац третій п.п. 12.3.7 п. 12.3 ст. 12 ПКУ).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На період дії воєнного чи надзвичайного стану в Україні на територіях, де тимчасово не здійснюють свої повноваження відповідні сільські, селищні, міські ради, рішення про встановлення місцевих податків та/або зборів та/або надання податкових пільг зі сплати місцевих податків та/або зборів мають право приймати відповідні військові адміністрації та військово-цивільні адміністрації </w:t>
      </w:r>
      <w:proofErr w:type="gramStart"/>
      <w:r w:rsidRPr="00EF6CDA">
        <w:rPr>
          <w:rFonts w:ascii="Times New Roman" w:eastAsia="Times New Roman" w:hAnsi="Times New Roman"/>
          <w:sz w:val="20"/>
          <w:szCs w:val="20"/>
          <w:lang w:eastAsia="ru-RU"/>
        </w:rPr>
        <w:t>у порядку</w:t>
      </w:r>
      <w:proofErr w:type="gramEnd"/>
      <w:r w:rsidRPr="00EF6CDA">
        <w:rPr>
          <w:rFonts w:ascii="Times New Roman" w:eastAsia="Times New Roman" w:hAnsi="Times New Roman"/>
          <w:sz w:val="20"/>
          <w:szCs w:val="20"/>
          <w:lang w:eastAsia="ru-RU"/>
        </w:rPr>
        <w:t xml:space="preserve">, передбаченому ПКУ для сільських, селищних, міських рад (абзац другий п. 12.3 ст. 12 ПКУ).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До повноважень сільських, селищних, міських рад, військових адміністрацій та військово-цивільних адміністрацій щодо податків та зборів, відповідно до п.п. 12.4.6 п. 12.4 ст. 12 ПКУ, належить надання інформації контролюючим органам за місцезнаходженням земельних ділянок щодо рішень про встановлення податкових пільг зі сплати місцевих податків та/або зборів, прийнятих на підставі заяв платників податків про визнання земельних ділянок непридатними для використання у зв’язку з потенційною загрозою їх забруднення вибухонебезпечними предметами. Така інформація надається в електронному вигляді </w:t>
      </w:r>
      <w:proofErr w:type="gramStart"/>
      <w:r w:rsidRPr="00EF6CDA">
        <w:rPr>
          <w:rFonts w:ascii="Times New Roman" w:eastAsia="Times New Roman" w:hAnsi="Times New Roman"/>
          <w:sz w:val="20"/>
          <w:szCs w:val="20"/>
          <w:lang w:eastAsia="ru-RU"/>
        </w:rPr>
        <w:t>у порядку</w:t>
      </w:r>
      <w:proofErr w:type="gramEnd"/>
      <w:r w:rsidRPr="00EF6CDA">
        <w:rPr>
          <w:rFonts w:ascii="Times New Roman" w:eastAsia="Times New Roman" w:hAnsi="Times New Roman"/>
          <w:sz w:val="20"/>
          <w:szCs w:val="20"/>
          <w:lang w:eastAsia="ru-RU"/>
        </w:rPr>
        <w:t xml:space="preserve"> та за формою, затвердженими Кабінетом Міністрів України, протягом 10 календарних днів з дня прийняття відповідного рішення з обов’язковим зазначенням кадастрових номерів земельних ділянок, щодо яких прийнято відповідне рішення.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Слід зазначити, що тимчасово, на період дії воєнного стану на території України, введеного Указом Президента України «Про введення воєнного стану в Україні» від 24 лютого 2022 року № 64/2022, затвердженим Законом України «Про затвердження Указу Президента України «Про введення воєнного стану в Україні» від 24 лютого 2022 року № 2102-IX, по 31 грудня року, в якому припинено або скасовано воєнний стан, до рішень сільських, селищних, міських рад, військових адміністрацій або військово-цивільних адміністрацій щодо встановлення ставок та пільг з місцевих податків та/або зборів та/або рішень про внесення змін до таких рішень не застосовуються вимоги п.п. 4.1.9 п. 4.1 та п. 4.5 ст. 4, підпункти 12.3.3, 12.3.4 і 12.3.7 п. 12.3, п.п. 12.4.3 п. 12.4 та п. 12.5 ст. 12 ПКУ та Закону України від 11 вересня 2003 року № 1160-ІV «Про засади державної регуляторної політики у сфері господарської діяльності», частини четвертої ст. 15 Закону України від 13 січня 2011 року   № 2939-VІ «Про доступ до публічної інформації» (із змінами), Закону України від 01 липня 2014 року № 1555-VІІ «Про державну допомогу суб’єктам господарювання» (із змінами)  (п.п. 69.34 п. 69 підрозд. 10 розд. ХХ «Перехідні положення» ПКУ).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Відповідно </w:t>
      </w:r>
      <w:proofErr w:type="gramStart"/>
      <w:r w:rsidRPr="00EF6CDA">
        <w:rPr>
          <w:rFonts w:ascii="Times New Roman" w:eastAsia="Times New Roman" w:hAnsi="Times New Roman"/>
          <w:sz w:val="20"/>
          <w:szCs w:val="20"/>
          <w:lang w:eastAsia="ru-RU"/>
        </w:rPr>
        <w:t>до абзацу</w:t>
      </w:r>
      <w:proofErr w:type="gramEnd"/>
      <w:r w:rsidRPr="00EF6CDA">
        <w:rPr>
          <w:rFonts w:ascii="Times New Roman" w:eastAsia="Times New Roman" w:hAnsi="Times New Roman"/>
          <w:sz w:val="20"/>
          <w:szCs w:val="20"/>
          <w:lang w:eastAsia="ru-RU"/>
        </w:rPr>
        <w:t xml:space="preserve"> першого п. 288.8 ст. 288 ПКУ за земельні ділянки, визначені п. 288.8 ст. 288 ПКУ, у цілях розрахунку орендної плати розмір податкових зобов’язань з орендної плати визначається з урахуванням положень, визначених ПКУ.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Абзацами третім – п’ятим п. 288.8 ст. 288 ПКУ встановлено, що не нараховується орендна плата за договорами оренди земельних ділянок державної і комунальної власності, які забруднені вибухонебезпечними предметами, за період, який починається з першого числа місяця, на який припадає дата початку обстеження земельної ділянки операторами протимінної діяльності, та завершується останнім числом місяця, в якому такі земельні ділянки визнані придатними для використання.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У частині земельних ділянок, що розташовані на територіях, на яких ведуться (велися) активні бойові дії або тимчасово окупованих Російською Федерацією, період, коли земельні ділянки визнаються забрудненими вибухонебезпечними предметами, визначається як період, що починається з першого числа місяця, що настає за місяцем, в якому завершено активні бойові дії або тимчасова окупація на відповідній території (у тому числі коли дата початку обстеження небезпечної території операторами протимінної діяльності настає після дати завершення бойових дій або тимчасової окупації на відповідній території), за умови подання платником плати за землю заяви до органу місцевого самоврядування, військової адміністрації та військово-цивільної адміністрації про потенційне забруднення земельної ділянки вибухонебезпечними предметами та прийняття таким органом місцевого самоврядування, військовою адміністрацією або військово-цивільною адміністрацією рішення про встановлення податкових пільг зі сплати місцевих податків і зборів щодо земельної ділянки, зазначеної в такій заяві, та завершується останнім числом місяця, в якому такі земельні ділянки визнані придатними для використання.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Не нараховується орендна плата за договорами оренди земельних ділянок державної і комунальної власності, які непридатні для використання у зв’язку з потенційною загрозою їх забруднення </w:t>
      </w:r>
      <w:r w:rsidRPr="00EF6CDA">
        <w:rPr>
          <w:rFonts w:ascii="Times New Roman" w:eastAsia="Times New Roman" w:hAnsi="Times New Roman"/>
          <w:sz w:val="20"/>
          <w:szCs w:val="20"/>
          <w:lang w:eastAsia="ru-RU"/>
        </w:rPr>
        <w:lastRenderedPageBreak/>
        <w:t xml:space="preserve">вибухонебезпечними предметами, протягом періоду, що починається з першого числа місяця, на який припадає дата прийняття рішення сільською, селищною, міською радою, військовою адміністрацією або військово-цивільною адміністрацією про надання податкових пільг зі сплати місцевих податків та/або зборів на підставі заяви платника податків, та завершується останнім числом місяця, на який припадає дата, що настає раніше, – або останній день строку, на який надано пільгу зі сплати місцевих податків та зборів відповідно до прийнятого рішення (у тому числі з урахуванням змін, внесених до такого рішення), або дата скасування відповідного рішення, або дата початку обстеження земельної ділянки операторами протимінної діяльності чи визнання земельної ділянки придатною для використання.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У разі подання платником орендної плати до контролюючого органу рішення відповідного органу виконавчої влади або органу місцевого самоврядування, що здійснює розпорядження земельними ділянками державної та комунальної власності відповідно до повноважень, визначених статтею 122 Земельного кодексу України від 25 жовтня 2001 року № 2768-III, про затвердження робочого проекту землеустрою щодо консервації земельної ділянки, відомості про заходи щодо охорони земель і грунтів яких відсутні у базах даних інформаційних систем центрального органу виконавчої влади, що реалізує державну податкову політику, або рішення сільської, селищної, міської ради, військової адміністрації або військово-цивільної адміністрації про надання податкових пільг зі сплати місцевих податків та зборів на підставі заяви такого платника податків про визнання земельної ділянки непридатною для використання у зв’язку із потенційною загрозою її забруднення вибухонебезпечними предметами, нарахування орендної плати до отримання контролюючим органом даних з Державного земельного кадастру або відповідної інформації від сільської, селищної, міської ради, військової адміністрації або військово-цивільної адміністрації щодо прийнятих рішень здійснюється на підставі відомостей, наданих платником податку.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При цьому річна сума платежу за такі земельні ділянки визначається пропорційно кількості місяців, в яких земельна ділянка державної чи комунальної власності була визнана придатною для використання (абзац восьмий п. 288.8 ст. 288 ПКУ).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Правові та організаційні засади здійснення протимінної діяльності в Україні визначено Законом України від 06 грудня 2018 року № 2642-VIII «Про протимінну діяльність в Україні» (далі – Закон № 2642).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Оператори протимінної діяльності – уповноважені підрозділи центральних органів виконавчої влади, підприємства, установи та організації незалежно від форми власності, у тому числі міжнародні та іноземні, що залучаються до проведення заходів у сфері протимінної діяльності (п. 10 частини першої ст. 1 Закону № 2642).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Отже, не нараховується орендна плата за договорами оренди земельних ділянок державної і комунальної власності: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які забруднені вибухонебезпечними предметами;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що розташовані на територіях, на яких ведуться (велися) активні бойові дії або тимчасово окупованих російською федерацією, які визнаються забрудненими вибухонебезпечними предметами (небезпечними територіями) за умови, що територія, на якій розташована земельна ділянка, включена до Переліку територій, на яких ведуться (велися) бойові дії або тимчасово окупованих Російською Федерацією, затвердженого наказом Міністерства з питань реінтеграції тимчасово окупованих територій України від 22.12.2022 № 309 (із змінами), зареєстрованим в Міністерстві юстиції України 23.12.2022 за № 1668/39004, та органом місцевого самоврядування, військовою адміністрацію або військово-цивільною адміністрацією на підставі заяви платника орендної плати про потенційне забруднення земельної ділянки вибухонебезпечними предметами прийнято рішення про встановлення податкових пільг зі сплати місцевих податків і зборів щодо земельної ділянки, зазначеної в такій заяві;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які непридатні для використання у зв’язку з потенційною загрозою їх забруднення вибухонебезпечними предметами за умови прийняття органом місцевого самоврядування, військовою адміністрацією або військово-цивільною адміністрацією на підставі заяви платника про потенційне забруднення земельної ділянки вибухонебезпечними предметами рішення про встановлення податкових пільг зі сплати місцевих податків і зборів щодо земельної ділянки, зазначеної в такій заяві.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При цьому за період, за який не нараховується орендна плата відповідно до положень п. 288.8 ст. 288 ПКУ, не подаються податкові декларації з плати за землю. </w:t>
      </w:r>
    </w:p>
    <w:p w:rsidR="00636583" w:rsidRPr="00EF6CDA" w:rsidRDefault="00636583" w:rsidP="0063658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Водночас, якщо за вказаний період платником орендної плати подано до контролюючого органу податкову декларацію з плати за землю, за який настав строк сплати податкових зобов’язань відповідно до положень ПКУ, такий платник має право уточнити свої податкові зобов’язання шляхом подання уточнюючих податкових декларацій. </w:t>
      </w:r>
    </w:p>
    <w:p w:rsidR="008D5BB3" w:rsidRDefault="008D5BB3" w:rsidP="00A65715">
      <w:pPr>
        <w:spacing w:after="0" w:line="240" w:lineRule="auto"/>
        <w:outlineLvl w:val="0"/>
        <w:rPr>
          <w:rFonts w:ascii="Times New Roman" w:eastAsia="Times New Roman" w:hAnsi="Times New Roman"/>
          <w:b/>
          <w:bCs/>
          <w:kern w:val="36"/>
          <w:sz w:val="20"/>
          <w:szCs w:val="20"/>
          <w:lang w:val="uk-UA" w:eastAsia="ru-RU"/>
        </w:rPr>
      </w:pPr>
    </w:p>
    <w:p w:rsidR="00A65715" w:rsidRPr="00EF6CDA" w:rsidRDefault="00A65715" w:rsidP="00A65715">
      <w:pPr>
        <w:spacing w:after="0" w:line="240" w:lineRule="auto"/>
        <w:outlineLvl w:val="0"/>
        <w:rPr>
          <w:rFonts w:ascii="Times New Roman" w:eastAsia="Times New Roman" w:hAnsi="Times New Roman"/>
          <w:b/>
          <w:bCs/>
          <w:kern w:val="36"/>
          <w:sz w:val="20"/>
          <w:szCs w:val="20"/>
          <w:lang w:eastAsia="ru-RU"/>
        </w:rPr>
      </w:pPr>
      <w:r w:rsidRPr="00EF6CDA">
        <w:rPr>
          <w:rFonts w:ascii="Times New Roman" w:eastAsia="Times New Roman" w:hAnsi="Times New Roman"/>
          <w:b/>
          <w:bCs/>
          <w:kern w:val="36"/>
          <w:sz w:val="20"/>
          <w:szCs w:val="20"/>
          <w:lang w:eastAsia="ru-RU"/>
        </w:rPr>
        <w:t>На користь фізичної особи нараховано дивіденди: що з військовим збором?</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Головне управління ДПС у Дніпропетровській області звертає увагу, що згідно з п.п. 1 п.п. 1.1 п. 16 прим. 1 підрозд. 10 розд. XX «Перехідні положення» Податкового кодексу України (далі – ПКУ) платниками військового збору є особи, визначені п. 162.1 ст. 162 ПКУ, зокрема, фізичні особи – резиденти (нерезиденти), які отримують доходи з джерела їх походження в Україні. </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Об’єктом оподаткування військовим збором для платників, зазначених у п.п. 1 п.п. 1.1 п. 16 прим. 1 підрозд. 10 розд. XX «Перехідні положення» ПКУ є доходи, визначені ст. 163 ПКУ (п.п. 1 п.п. 1.2 п. 16 прим. 1 підрозд. 10 розд. XX «Перехідні положення» ПКУ). </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lastRenderedPageBreak/>
        <w:t xml:space="preserve">Для платників, зазначених у п.п. 1 п.п. 1.1 п. 16 прим. 1 підрозд. 10 розд. XX «Перехідні положення», ставка військового збору становить 5 відс. від об’єкта оподаткування, визначеного п.п. 1 п.п 1.2 п. 16 прим. 1 підрозд. 10 розд. XX «Перехідні положення» ПКУ (п.п. 1.1 п.п. 1.3 п. 16 прим. 1 підрозд. 10 розд. XX ПКУ). </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Відповідно до п. 163.1 ст. 163 ПКУ об’єктом оподаткування платника податку є загальний місячний (річний) оподатковуваний дохід, </w:t>
      </w:r>
      <w:proofErr w:type="gramStart"/>
      <w:r w:rsidRPr="00EF6CDA">
        <w:rPr>
          <w:rFonts w:ascii="Times New Roman" w:eastAsia="Times New Roman" w:hAnsi="Times New Roman"/>
          <w:sz w:val="20"/>
          <w:szCs w:val="20"/>
          <w:lang w:eastAsia="ru-RU"/>
        </w:rPr>
        <w:t>до складу</w:t>
      </w:r>
      <w:proofErr w:type="gramEnd"/>
      <w:r w:rsidRPr="00EF6CDA">
        <w:rPr>
          <w:rFonts w:ascii="Times New Roman" w:eastAsia="Times New Roman" w:hAnsi="Times New Roman"/>
          <w:sz w:val="20"/>
          <w:szCs w:val="20"/>
          <w:lang w:eastAsia="ru-RU"/>
        </w:rPr>
        <w:t xml:space="preserve"> якого включаються доходи, перелік яких визначено підпунктами 164.2.1 – 164.2.18 п. 164.2 ст. 164 ПКУ. </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Так, згідно з п.п. 164.2.8 п. 164.2 ст. 164 ПКУ до загального місячного (річного) оподатковуваного доходу включаються «пасивні доходи» (крім зазначених у підпунктах 165.1.2 та 165.1.41 п. 165.1 ст. 165 ПКУ). </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Під терміном «пасивні доходи» для цілей розд. IV ПКУ слід розуміти, зокрема, такі доходи, як дивіденди (п.п. 14.1.268 п. 14.1 ст. 14 ПКУ). </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Враховуючи зазначене, оскільки сума дивідендів, нарахованих на користь фізичних осіб включається до загального місячного оподатковуваного доходу платника податку, то такий дохід підлягає оподаткуванню військовим збором за ставкою 5 відсотків. </w:t>
      </w:r>
    </w:p>
    <w:p w:rsidR="008D5BB3" w:rsidRDefault="008D5BB3" w:rsidP="00A65715">
      <w:pPr>
        <w:spacing w:after="0" w:line="240" w:lineRule="auto"/>
        <w:outlineLvl w:val="0"/>
        <w:rPr>
          <w:rFonts w:ascii="Times New Roman" w:eastAsia="Times New Roman" w:hAnsi="Times New Roman"/>
          <w:b/>
          <w:bCs/>
          <w:kern w:val="36"/>
          <w:sz w:val="20"/>
          <w:szCs w:val="20"/>
          <w:lang w:val="uk-UA" w:eastAsia="ru-RU"/>
        </w:rPr>
      </w:pPr>
    </w:p>
    <w:p w:rsidR="00A65715" w:rsidRPr="00EF6CDA" w:rsidRDefault="00A65715" w:rsidP="00A65715">
      <w:pPr>
        <w:spacing w:after="0" w:line="240" w:lineRule="auto"/>
        <w:outlineLvl w:val="0"/>
        <w:rPr>
          <w:rFonts w:ascii="Times New Roman" w:eastAsia="Times New Roman" w:hAnsi="Times New Roman"/>
          <w:b/>
          <w:bCs/>
          <w:kern w:val="36"/>
          <w:sz w:val="20"/>
          <w:szCs w:val="20"/>
          <w:lang w:eastAsia="ru-RU"/>
        </w:rPr>
      </w:pPr>
      <w:r w:rsidRPr="00EF6CDA">
        <w:rPr>
          <w:rFonts w:ascii="Times New Roman" w:eastAsia="Times New Roman" w:hAnsi="Times New Roman"/>
          <w:b/>
          <w:bCs/>
          <w:kern w:val="36"/>
          <w:sz w:val="20"/>
          <w:szCs w:val="20"/>
          <w:lang w:eastAsia="ru-RU"/>
        </w:rPr>
        <w:t>Чи можуть іноземці або особи без громадянства (їх представники) подати через Електронний кабінет Облікову картку за ф. № 1ДР?</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Головне управління ДПС у Дніпропетровській області інформує. </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Згідно з п. 70.5 ст. 70 Податкового кодексу України (далі – ПКУ) фізична особа – платник податків незалежно від віку (як резидент, так і нерезидент), для якої раніше не формувалася облікова картка платника податків та яка не включена до Державного реєстру фізичних осіб – платників податків (далі – ДРФО), зобов’язана особисто або через законного представника чи уповноважену особу подати відповідному контролюючому органу облікову картку фізичної особи – платника податків, яка є водночас заявою для реєстрації в ДРФО, та пред’явити документ, що посвідчує особу. </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Відповідно до п. 42 прим. 1.5 ст. 42 прим. 1 ПКУ платник податків стає користувачем електронного кабінету та набуває право подавати звітність в електронній формі і вести листування засобами електронного зв’язку в електронній формі після проходження в електронному кабінеті електронної ідентифікації онлайн з використанням кваліфікованого електронного підпису або удосконаленого електронного підпису, що базується на кваліфікованому сертифікаті електронного підпису, з дотриманням вимог законів України від 22 травня 2003 року № 851-IV «Про електронні документи та електронний документообіг» (із змінами) та від 05 жовтня 2017 року № 2155-VIII «Про електронну ідентифікацію та електронні довірчі послуги» (із змінами) (далі – Закон № 2155), або тих сервісів ідентифікації, використання яких дозволяється методологом Електронного кабінету. </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Відповідно до Закону № 2155 електронна ідентифікація це процес використання ідентифікаційних даних особи в електронній формі, які однозначно визначають фізичну, юридичну особу або уповноваженого представника юридичної особи. </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До ідентифікаційних даних, які однозначно визначають користувача електронних довірчих послуг відноситься, зокрема прізвище, ім’я, по батькові підписувача та реєстраційний номер облікової картки платника податків. </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Для отримання кваліфікованого електронного підпису іноземець чи особа без громадянства вже повинен бути зареєстрований у ДРФО. </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Подати в електронному вигляді Облікову картку за ф. № 1ДР через Електронний кабінет може представник іноземця або особи без громадянства (у разі, коли іноземець або особа без громадянства має посвідку на постійне проживання / посвідку на тимчасове проживання, виготовлену у формі картки, що містить безконтактний електронний носій), з наданням відповідних електронних копій документів за переліком, визначеним законодавством. </w:t>
      </w:r>
    </w:p>
    <w:p w:rsidR="008D5BB3" w:rsidRDefault="008D5BB3" w:rsidP="00A65715">
      <w:pPr>
        <w:spacing w:after="0" w:line="240" w:lineRule="auto"/>
        <w:outlineLvl w:val="0"/>
        <w:rPr>
          <w:rFonts w:ascii="Times New Roman" w:eastAsia="Times New Roman" w:hAnsi="Times New Roman"/>
          <w:b/>
          <w:bCs/>
          <w:kern w:val="36"/>
          <w:sz w:val="20"/>
          <w:szCs w:val="20"/>
          <w:lang w:val="uk-UA" w:eastAsia="ru-RU"/>
        </w:rPr>
      </w:pPr>
    </w:p>
    <w:p w:rsidR="00A65715" w:rsidRPr="00EF6CDA" w:rsidRDefault="00A65715" w:rsidP="00A65715">
      <w:pPr>
        <w:spacing w:after="0" w:line="240" w:lineRule="auto"/>
        <w:outlineLvl w:val="0"/>
        <w:rPr>
          <w:rFonts w:ascii="Times New Roman" w:eastAsia="Times New Roman" w:hAnsi="Times New Roman"/>
          <w:b/>
          <w:bCs/>
          <w:kern w:val="36"/>
          <w:sz w:val="20"/>
          <w:szCs w:val="20"/>
          <w:lang w:eastAsia="ru-RU"/>
        </w:rPr>
      </w:pPr>
      <w:r w:rsidRPr="00EF6CDA">
        <w:rPr>
          <w:rFonts w:ascii="Times New Roman" w:eastAsia="Times New Roman" w:hAnsi="Times New Roman"/>
          <w:b/>
          <w:bCs/>
          <w:kern w:val="36"/>
          <w:sz w:val="20"/>
          <w:szCs w:val="20"/>
          <w:lang w:eastAsia="ru-RU"/>
        </w:rPr>
        <w:t>Хто є платниками податку на нерухоме майно, відмінне від земельної ділянки?</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Головне управління ДПС у Дніпропетровській області нагадує, що відповідно до п.п. 266.1.1 п. 266.1 ст. 266 Податкового кодексу України (далі – ПКУ) платниками податку на нерухоме майно, відмінне від земельної ділянки, є фізичні та юридичні особи, в тому числі нерезиденти, які є власниками житлової та/або нежитлової нерухомості. </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Підпунктом 266.1.2 п. 266.1 ст. 266 ПКУ визначено платників податку в разі перебування об’єктів житлової та/або нежитлової нерухомості у спільній частковій або спільній сумісній власності кількох осіб: </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а) якщо об’єкт житлової та/або нежитлової нерухомості перебуває у спільній частковій власності кількох осіб, платником податку є кожна з цих осіб за належну їй частку; </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б) якщо об’єкт житлової та/або нежитлової нерухомості перебуває у спільній сумісній власності кількох осіб, але не поділений в натурі, платником податку є одна з таких осіб-власників, визначена за їх згодою, якщо інше не встановлено судом; </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в) якщо об’єкт житлової та/або нежитлової нерухомості перебуває у спільній сумісній власності кількох осіб і поділений між ними в натурі, платником податку є кожна з цих осіб за належну їй частку. </w:t>
      </w:r>
    </w:p>
    <w:p w:rsidR="00A65715" w:rsidRDefault="00A65715" w:rsidP="00A65715">
      <w:pPr>
        <w:pStyle w:val="a3"/>
        <w:spacing w:before="0" w:beforeAutospacing="0" w:after="0" w:afterAutospacing="0"/>
        <w:rPr>
          <w:sz w:val="20"/>
          <w:szCs w:val="20"/>
          <w:lang w:val="uk-UA"/>
        </w:rPr>
      </w:pPr>
    </w:p>
    <w:p w:rsidR="00A65715" w:rsidRPr="00A65715" w:rsidRDefault="00A65715" w:rsidP="00A65715">
      <w:pPr>
        <w:spacing w:after="0" w:line="240" w:lineRule="auto"/>
        <w:outlineLvl w:val="0"/>
        <w:rPr>
          <w:rFonts w:ascii="Times New Roman" w:eastAsia="Times New Roman" w:hAnsi="Times New Roman"/>
          <w:b/>
          <w:bCs/>
          <w:kern w:val="36"/>
          <w:sz w:val="20"/>
          <w:szCs w:val="20"/>
          <w:lang w:val="uk-UA" w:eastAsia="ru-RU"/>
        </w:rPr>
      </w:pPr>
      <w:r w:rsidRPr="00A65715">
        <w:rPr>
          <w:rFonts w:ascii="Times New Roman" w:eastAsia="Times New Roman" w:hAnsi="Times New Roman"/>
          <w:b/>
          <w:bCs/>
          <w:kern w:val="36"/>
          <w:sz w:val="20"/>
          <w:szCs w:val="20"/>
          <w:lang w:val="uk-UA" w:eastAsia="ru-RU"/>
        </w:rPr>
        <w:t>Чи підлягає оподаткуванню військовим збором сума доходу, отриманого ФОП на загальній системі оподаткування від провадження господарської діяльності?</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lastRenderedPageBreak/>
        <w:t xml:space="preserve">Головне управління ДПС у Дніпропетровській області інформує. </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Пунктом 16 прим. 1 підрозд. 10 розд. ХХ «Перехідні положення» Податкового кодексу України (далі – ПКУ) тимчасово, до набрання чинності рішенням Верховної Ради України про завершення реформи Збройних Сил України, встановлюється військовий збір. </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Платниками військового збору є особи, визначені п. 162.1 ст. 162 ПКУ (п.п. 1 п.п. 1.1 п. 16 прим. 1 підрозд. 10 розд. ХХ «Перехідні положення» ПКУ), зокрема: </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фізична особа – резидент, яка отримує доходи як з джерела їх походження в Україні, так і іноземні доходи; </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фізична особа – нерезидент, яка отримує доходи з джерела їх походження в Україні; </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податковий агент. </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При цьому, п.п. 1 п.п. 1.2 п. 16 прим. 1 підрозд. 10 розд. ХХ «Перехідні положення» ПКУ встановлено, що об’єктом оподаткування військовим збором для платників, зазначених у п.п. 1 п.п. 1.1 п. 16 прим. 1 підрозд. 10 розд. ХХ «Перехідні положення» ПКУ, є доходи, визначені ст. 163 ПКУ, зокрема, загальний місячний (річний) оподатковуваний дохід; доходи з джерела їх походження в Україні, які остаточно оподатковуються під час їх нарахування (виплати, надання); іноземні доходи – доходи (прибуток), отримані з джерел за межами України. </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Відповідно до п.п. 164.1.3 п. 164.1 ст. 164 ПКУ загальний річний оподатковуваний дохід дорівнює сумі загальних місячних оподатковуваних доходів, іноземних доходів, отриманих протягом такого звітного податкового року, доходів, отриманих фізичною особою – підприємцем від провадження господарської діяльності згідно із ст. 177 ПКУ, та доходів, отриманих фізичною особою, яка провадить незалежну професійну діяльність згідно із ст. 178 ПКУ. </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Нарахування, утримання та сплата (перерахування) військового збору з доходів платників збору, зазначених у п.п. 1 п.п. 1.1 п. 16 прим. 1 підрозд. 10 розд. XX ПКУ, здійснюються </w:t>
      </w:r>
      <w:proofErr w:type="gramStart"/>
      <w:r w:rsidRPr="00EF6CDA">
        <w:rPr>
          <w:rFonts w:ascii="Times New Roman" w:eastAsia="Times New Roman" w:hAnsi="Times New Roman"/>
          <w:sz w:val="20"/>
          <w:szCs w:val="20"/>
          <w:lang w:eastAsia="ru-RU"/>
        </w:rPr>
        <w:t>в порядку</w:t>
      </w:r>
      <w:proofErr w:type="gramEnd"/>
      <w:r w:rsidRPr="00EF6CDA">
        <w:rPr>
          <w:rFonts w:ascii="Times New Roman" w:eastAsia="Times New Roman" w:hAnsi="Times New Roman"/>
          <w:sz w:val="20"/>
          <w:szCs w:val="20"/>
          <w:lang w:eastAsia="ru-RU"/>
        </w:rPr>
        <w:t xml:space="preserve">, встановленому розд. IV ПКУ, з урахуванням особливостей, визначених підрозд. 1 розд. XX «Перехідні положення», за ставкою, визначеною п.п. 1 п.п. 1.3 п. 16 прим. 1 підрозд. 10 розд. XX «Перехідні положення» ПКУ (п.п. 1.4 п. 16 прим. 1 підрозд. 10 розд. ХХ «Перехідні положення» ПКУ). </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Для платників, зазначених у п.п. 1 п.п. 1.1 п. 16 прим. 1 підрозд. 10 розд. XX «Перехідні положення», ставка військового збору становить 5 відс. від об’єкта оподаткування, визначеного п.п. 1 п.п 1.2. п. 16 прим. 1 підрозд. 10 розд. XX «Перехідні положення» ПКУ (п.п. 1.1 п.п. 1.3 п. 16 прим. 1 підрозд. 10 розд. XX ПКУ). </w:t>
      </w:r>
    </w:p>
    <w:p w:rsidR="00A65715" w:rsidRPr="00EF6CDA" w:rsidRDefault="00A65715" w:rsidP="00A65715">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Отже, сума доходу, отриманого фізичною особою – підприємцем на загальній системі оподаткування від провадження господарської діяльності підлягає оподаткуванню військовим збором </w:t>
      </w:r>
      <w:proofErr w:type="gramStart"/>
      <w:r w:rsidRPr="00EF6CDA">
        <w:rPr>
          <w:rFonts w:ascii="Times New Roman" w:eastAsia="Times New Roman" w:hAnsi="Times New Roman"/>
          <w:sz w:val="20"/>
          <w:szCs w:val="20"/>
          <w:lang w:eastAsia="ru-RU"/>
        </w:rPr>
        <w:t>в порядку</w:t>
      </w:r>
      <w:proofErr w:type="gramEnd"/>
      <w:r w:rsidRPr="00EF6CDA">
        <w:rPr>
          <w:rFonts w:ascii="Times New Roman" w:eastAsia="Times New Roman" w:hAnsi="Times New Roman"/>
          <w:sz w:val="20"/>
          <w:szCs w:val="20"/>
          <w:lang w:eastAsia="ru-RU"/>
        </w:rPr>
        <w:t xml:space="preserve">, визначеному ст. 177 ПКУ. </w:t>
      </w:r>
    </w:p>
    <w:p w:rsidR="00A65715" w:rsidRPr="00A65715" w:rsidRDefault="00A65715" w:rsidP="00A65715">
      <w:pPr>
        <w:pStyle w:val="a3"/>
        <w:spacing w:before="0" w:beforeAutospacing="0" w:after="0" w:afterAutospacing="0"/>
        <w:rPr>
          <w:sz w:val="20"/>
          <w:szCs w:val="20"/>
        </w:rPr>
      </w:pPr>
    </w:p>
    <w:p w:rsidR="00EE45E3" w:rsidRPr="00EF6CDA" w:rsidRDefault="00EE45E3" w:rsidP="00EE45E3">
      <w:pPr>
        <w:spacing w:after="0" w:line="240" w:lineRule="auto"/>
        <w:outlineLvl w:val="0"/>
        <w:rPr>
          <w:rFonts w:ascii="Times New Roman" w:eastAsia="Times New Roman" w:hAnsi="Times New Roman"/>
          <w:b/>
          <w:bCs/>
          <w:kern w:val="36"/>
          <w:sz w:val="20"/>
          <w:szCs w:val="20"/>
          <w:lang w:eastAsia="ru-RU"/>
        </w:rPr>
      </w:pPr>
      <w:r w:rsidRPr="00EF6CDA">
        <w:rPr>
          <w:rFonts w:ascii="Times New Roman" w:eastAsia="Times New Roman" w:hAnsi="Times New Roman"/>
          <w:b/>
          <w:bCs/>
          <w:kern w:val="36"/>
          <w:sz w:val="20"/>
          <w:szCs w:val="20"/>
          <w:lang w:eastAsia="ru-RU"/>
        </w:rPr>
        <w:t>Оновлено «Єдине вікно подання електронної звітності»</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Головне управління ДПС у Дніпропетровській області звертає увагу, що на вебпорталі ДПС України за посиланням https://tax.gov.ua/elektronna-zvitnist/spetsializovane-klientske-program/ розміщено оновлення до спеціалізованого клієнтського програмного забезпечення для формування та подання звітності до «Єдиного вікна подання електронної звітності» до версії 1.32.12.0 станом на 29.11.2024.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Цей комплект програмного забезпечення включає в себе зміни та доповнення з 23.12.2023 по 29.11.2024 включно та встановлюється тільки на релізи Системи версії 1.</w:t>
      </w:r>
      <w:proofErr w:type="gramStart"/>
      <w:r w:rsidRPr="00EF6CDA">
        <w:rPr>
          <w:rFonts w:ascii="Times New Roman" w:eastAsia="Times New Roman" w:hAnsi="Times New Roman"/>
          <w:sz w:val="20"/>
          <w:szCs w:val="20"/>
          <w:lang w:eastAsia="ru-RU"/>
        </w:rPr>
        <w:t>32.*</w:t>
      </w:r>
      <w:proofErr w:type="gramEnd"/>
      <w:r w:rsidRPr="00EF6CDA">
        <w:rPr>
          <w:rFonts w:ascii="Times New Roman" w:eastAsia="Times New Roman" w:hAnsi="Times New Roman"/>
          <w:sz w:val="20"/>
          <w:szCs w:val="20"/>
          <w:lang w:eastAsia="ru-RU"/>
        </w:rPr>
        <w:t xml:space="preserve"> При цьому всі персональні довідники та налаштування користувача залишаються незмінними.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Перелік змін та доповнень (версія 1.32.12.0) станом на 29.11.2024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Додано нові версії документів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1. У відповідності до змін, які внесені наказом Міністерства фінансів України від 09 серпня 2024 року № 400: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F/J 1211001 – Податкова накладна (складена за операціями з вивезення за межі митної території України товарів, до яких застосовано режим експортного забезпечення);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F/J 1211101 – Додаток 1 до податкової накладної (складена за операціями з вивезення за межі митної території України товарів, до яких застосовано режим експортного забезпечення);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F/J 1211201 – Розрахунок коригування кількісних і вартісних показників до податкової накладної. Додаток 2 до податкової накладної (складена за операціями з вивезення за межі митної території України товарів, до яких застосовано режим експортного забезпечення).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2. На виконання наказу Міністерства фінансів України від 09 вересня 2024 року № 433 (зі змінами):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F/J 0207705 – Декларація про максимальні роздрібні ціни на підакцизні товари (продукцію) (з 15 числа);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F/J 0208905 – Декларація про максимальні роздрібні ціни на підакцизні товари (продукцію) (з 1 числа).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3. На виконання наказу Міністерства фінансів України від 19 серпня 2024 року № 404: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J 1309901 – Повідомлення про завершення розрахунків платників податків за відповідними операціями з експорту товарів, до яких застосовано режим експортного забезпечення;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J 1409901 – Повідомлення 2 про завершення розрахунків платників податків за відповідними операціями з експорту товарів, до яких застосовано режим експортного забезпечення.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4. На виконання наказу Міністерства фінансів України від 07 жовтня 2024 року № 495: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F/J 1325401 – Повідомлення про відмову в оприлюдненні даних про платника податків у Переліку платників податків з високим рівнем добровільного дотримання податкового законодавства;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lastRenderedPageBreak/>
        <w:t xml:space="preserve">F/J 1425201 – Повідомлення про включення до Переліку платників податків з високим рівнем добровільного дотримання податкового законодавства;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F/J 1425301 – Повідомлення про виключення платника з Переліку платників податків з високим рівнем добровільного дотримання податкового законодавства;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F/J 1425501 – Повідомлення про закріплення за платником податків посадової особи територіального органу центрального органу виконавчої влади, що реалізує державну податкову політику, відповідальної за взаємодію з платником податків (комплаєнс-менеджера).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5. На виконання наказу Державної податкової служби України від 31 жовтня 2024 року № 788: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F/J 1425601 – Інформаційне повідомлення Платнику податків з високим рівнем добровільного дотримання податкового законодавства про реалізацію права взаємодіяти з Комплаєнс-менеджером з використанням засобів дистанційного зв’язку, у тому числі в режимі відеоконференції;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F/J 1325701 – Оцінка якості надання консультування комплаєнс-менеджером.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6. На виконання наказу Міністерства фінансів України від 27 вересня 2024 року № 470: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J1312107 – Заява (для юридичних осіб та відокремлених підрозділів);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J1315406 – Заява нерезидента (для іноземної юридичної компанії, організації або її відокремленого підрозділу);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F1314105 – Заява (для осіб, які провадять незалежну професійну діяльність);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F/J 1314203 – Заява про ліквідацію або реорганізацію платника податків;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F/J 1312204 – Заява про взяття на облік за неосновним місцем обліку;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F/J 1315502 – Запит про надання довідки про взяття на облік платника податків, відомості щодо якого не підлягають включенню до Єдиного державного реєстру;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F/J 1415502 – Довідка про взяття на облік платника податків, відомості щодо якого не підлягають включенню до Єдиного державного реєстру.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7.  У відповідності до форм, які опубліковано на сайті Державної служби статистики України: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S2703211 – Звіт про перероблення винограду на виноматеріали №1-виноград (річна). </w:t>
      </w:r>
    </w:p>
    <w:p w:rsidR="008D5BB3" w:rsidRDefault="008D5BB3" w:rsidP="00EE45E3">
      <w:pPr>
        <w:spacing w:after="0" w:line="240" w:lineRule="auto"/>
        <w:outlineLvl w:val="0"/>
        <w:rPr>
          <w:rFonts w:ascii="Times New Roman" w:eastAsia="Times New Roman" w:hAnsi="Times New Roman"/>
          <w:b/>
          <w:bCs/>
          <w:kern w:val="36"/>
          <w:sz w:val="20"/>
          <w:szCs w:val="20"/>
          <w:lang w:val="uk-UA" w:eastAsia="ru-RU"/>
        </w:rPr>
      </w:pPr>
    </w:p>
    <w:p w:rsidR="00EE45E3" w:rsidRPr="00EF6CDA" w:rsidRDefault="00EE45E3" w:rsidP="00EE45E3">
      <w:pPr>
        <w:spacing w:after="0" w:line="240" w:lineRule="auto"/>
        <w:outlineLvl w:val="0"/>
        <w:rPr>
          <w:rFonts w:ascii="Times New Roman" w:eastAsia="Times New Roman" w:hAnsi="Times New Roman"/>
          <w:b/>
          <w:bCs/>
          <w:kern w:val="36"/>
          <w:sz w:val="20"/>
          <w:szCs w:val="20"/>
          <w:lang w:eastAsia="ru-RU"/>
        </w:rPr>
      </w:pPr>
      <w:r w:rsidRPr="00EF6CDA">
        <w:rPr>
          <w:rFonts w:ascii="Times New Roman" w:eastAsia="Times New Roman" w:hAnsi="Times New Roman"/>
          <w:b/>
          <w:bCs/>
          <w:kern w:val="36"/>
          <w:sz w:val="20"/>
          <w:szCs w:val="20"/>
          <w:lang w:eastAsia="ru-RU"/>
        </w:rPr>
        <w:t xml:space="preserve">Закон № 3813: новий рівень прозорості комунікацій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Обговоренню нововведень податкового законодавства, передбачених Законом України від 18 червня 2024 року № 3813-IX «Про внесення змін до Податкового кодексу України щодо особливостей податкового адміністрування під час воєнного стану для платників податків з високим рівнем добровільного дотримання податкового законодавства» (Закон № 3813), присвячена зустріч податківців регіону з представниками Ресурсного центру для об’єднань співвласників багатоквартирних будинків «Школа кербуду».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Законодавчими нормами Закону № 3813 передбачені особливості адміністрування під час воєнного стану для платників податків з високим рівнем добровільного дотримання податкового законодавства.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Саме для імплементації цих норм Державною податковою службою України реалізовано проєкт «Територія високого рівня податкової довіри», який передбачає зміну підходів у комунікації платників з податковою службою та побудову прозорих відносин між державою і підприємцями.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Забезпечення рівних умов для всіх платників податків, прозорість процесів адміністрування, забезпечення справедливості, запобігання податковим ризикам – головні тези зустрічі.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Створюємо новий рівень взаємовідносин між платниками та податковою! </w:t>
      </w:r>
    </w:p>
    <w:p w:rsidR="008D5BB3" w:rsidRDefault="008D5BB3" w:rsidP="00EE45E3">
      <w:pPr>
        <w:spacing w:after="0" w:line="240" w:lineRule="auto"/>
        <w:outlineLvl w:val="0"/>
        <w:rPr>
          <w:rFonts w:ascii="Times New Roman" w:eastAsia="Times New Roman" w:hAnsi="Times New Roman"/>
          <w:b/>
          <w:bCs/>
          <w:kern w:val="36"/>
          <w:sz w:val="20"/>
          <w:szCs w:val="20"/>
          <w:lang w:val="uk-UA" w:eastAsia="ru-RU"/>
        </w:rPr>
      </w:pPr>
    </w:p>
    <w:p w:rsidR="00EE45E3" w:rsidRPr="00EF6CDA" w:rsidRDefault="00EE45E3" w:rsidP="00EE45E3">
      <w:pPr>
        <w:spacing w:after="0" w:line="240" w:lineRule="auto"/>
        <w:outlineLvl w:val="0"/>
        <w:rPr>
          <w:rFonts w:ascii="Times New Roman" w:eastAsia="Times New Roman" w:hAnsi="Times New Roman"/>
          <w:b/>
          <w:bCs/>
          <w:kern w:val="36"/>
          <w:sz w:val="20"/>
          <w:szCs w:val="20"/>
          <w:lang w:eastAsia="ru-RU"/>
        </w:rPr>
      </w:pPr>
      <w:r w:rsidRPr="00EF6CDA">
        <w:rPr>
          <w:rFonts w:ascii="Times New Roman" w:eastAsia="Times New Roman" w:hAnsi="Times New Roman"/>
          <w:b/>
          <w:bCs/>
          <w:kern w:val="36"/>
          <w:sz w:val="20"/>
          <w:szCs w:val="20"/>
          <w:lang w:eastAsia="ru-RU"/>
        </w:rPr>
        <w:t xml:space="preserve">Нововведення щодо сплати </w:t>
      </w:r>
      <w:proofErr w:type="gramStart"/>
      <w:r w:rsidRPr="00EF6CDA">
        <w:rPr>
          <w:rFonts w:ascii="Times New Roman" w:eastAsia="Times New Roman" w:hAnsi="Times New Roman"/>
          <w:b/>
          <w:bCs/>
          <w:kern w:val="36"/>
          <w:sz w:val="20"/>
          <w:szCs w:val="20"/>
          <w:lang w:eastAsia="ru-RU"/>
        </w:rPr>
        <w:t>до бюджету</w:t>
      </w:r>
      <w:proofErr w:type="gramEnd"/>
      <w:r w:rsidRPr="00EF6CDA">
        <w:rPr>
          <w:rFonts w:ascii="Times New Roman" w:eastAsia="Times New Roman" w:hAnsi="Times New Roman"/>
          <w:b/>
          <w:bCs/>
          <w:kern w:val="36"/>
          <w:sz w:val="20"/>
          <w:szCs w:val="20"/>
          <w:lang w:eastAsia="ru-RU"/>
        </w:rPr>
        <w:t xml:space="preserve"> авансових внесків платниками, які здійснюють роздрібну торгівлю пальним</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Законом України від 10.10.2024 № 4015 «Про внесення змін до Податкового кодексу України та інших законів України щодо забезпечення збалансованості бюджетних надходжень у період дії воєнного стану» (набрав чинності 01.12.2024) запроваджено сплату авансових внесків з податку на прибуток підприємств та податку на доходи фізичних осіб платниками, які здійснюють роздрібну торгівлю пальним. </w:t>
      </w:r>
    </w:p>
    <w:p w:rsidR="00EE45E3" w:rsidRPr="00EF6CDA" w:rsidRDefault="00EE45E3" w:rsidP="00EE45E3">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Для сплати авансових внесків відкрито нові бюджетні рахунки за кодами класифікації доходів бюджету 11021800 «Авансовий внесок з податку на прибуток підприємств, що сплачується платниками податку, які здійснюють роздрібну торгівлю пальним» та 11011500 «Авансовий внесок з податку на доходи фізичних осіб, що сплачується платниками податку, які здійснюють роздрібну торгівлю пальним». </w:t>
      </w:r>
    </w:p>
    <w:p w:rsidR="008D5BB3" w:rsidRDefault="008D5BB3" w:rsidP="0025471C">
      <w:pPr>
        <w:spacing w:after="0" w:line="240" w:lineRule="auto"/>
        <w:outlineLvl w:val="0"/>
        <w:rPr>
          <w:rFonts w:ascii="Times New Roman" w:eastAsia="Times New Roman" w:hAnsi="Times New Roman"/>
          <w:b/>
          <w:bCs/>
          <w:kern w:val="36"/>
          <w:sz w:val="20"/>
          <w:szCs w:val="20"/>
          <w:lang w:val="uk-UA" w:eastAsia="ru-RU"/>
        </w:rPr>
      </w:pPr>
    </w:p>
    <w:p w:rsidR="0025471C" w:rsidRPr="0007446A" w:rsidRDefault="0025471C" w:rsidP="0025471C">
      <w:pPr>
        <w:spacing w:after="0" w:line="240" w:lineRule="auto"/>
        <w:outlineLvl w:val="0"/>
        <w:rPr>
          <w:rFonts w:ascii="Times New Roman" w:eastAsia="Times New Roman" w:hAnsi="Times New Roman"/>
          <w:b/>
          <w:bCs/>
          <w:kern w:val="36"/>
          <w:sz w:val="20"/>
          <w:szCs w:val="20"/>
          <w:lang w:eastAsia="ru-RU"/>
        </w:rPr>
      </w:pPr>
      <w:r w:rsidRPr="000127DD">
        <w:rPr>
          <w:rFonts w:ascii="Times New Roman" w:eastAsia="Times New Roman" w:hAnsi="Times New Roman"/>
          <w:b/>
          <w:bCs/>
          <w:kern w:val="36"/>
          <w:sz w:val="20"/>
          <w:szCs w:val="20"/>
          <w:lang w:eastAsia="ru-RU"/>
        </w:rPr>
        <w:t>Право на нарахування податкової знижки за наслідками звітного податкового року на наступні</w:t>
      </w:r>
      <w:r w:rsidRPr="0007446A">
        <w:rPr>
          <w:rFonts w:ascii="Times New Roman" w:eastAsia="Times New Roman" w:hAnsi="Times New Roman"/>
          <w:b/>
          <w:bCs/>
          <w:kern w:val="36"/>
          <w:sz w:val="20"/>
          <w:szCs w:val="20"/>
          <w:lang w:eastAsia="ru-RU"/>
        </w:rPr>
        <w:t xml:space="preserve"> податкові роки не переноситься</w:t>
      </w:r>
    </w:p>
    <w:p w:rsidR="0025471C" w:rsidRPr="0007446A" w:rsidRDefault="0025471C" w:rsidP="0025471C">
      <w:pPr>
        <w:spacing w:after="0" w:line="240" w:lineRule="auto"/>
        <w:jc w:val="both"/>
        <w:rPr>
          <w:rFonts w:ascii="Times New Roman" w:eastAsia="Times New Roman" w:hAnsi="Times New Roman"/>
          <w:sz w:val="20"/>
          <w:szCs w:val="20"/>
          <w:lang w:eastAsia="ru-RU"/>
        </w:rPr>
      </w:pPr>
      <w:r w:rsidRPr="0007446A">
        <w:rPr>
          <w:rFonts w:ascii="Times New Roman" w:eastAsia="Times New Roman" w:hAnsi="Times New Roman"/>
          <w:sz w:val="20"/>
          <w:szCs w:val="20"/>
          <w:lang w:eastAsia="ru-RU"/>
        </w:rPr>
        <w:t xml:space="preserve">Головне управління ДПС у Дніпропетровській області нагадує, що відповідно до п.п. 14.1.170 п. 14.1 ст. 14 Податкового кодексу України (далі – ПКУ) податкова знижка для фізичних осіб, які не є суб’єктами господарювання, – це документально підтверджена сума (вартість) витрат платника податку (далі – податок)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річного оподатковуваного доходу, одержаного за наслідками такого звітного року у вигляді заробітної плати та/або у вигляді дивідендів, у випадках, визначених ПКУ. </w:t>
      </w:r>
    </w:p>
    <w:p w:rsidR="0025471C" w:rsidRPr="0007446A" w:rsidRDefault="0025471C" w:rsidP="0025471C">
      <w:pPr>
        <w:spacing w:after="0" w:line="240" w:lineRule="auto"/>
        <w:jc w:val="both"/>
        <w:rPr>
          <w:rFonts w:ascii="Times New Roman" w:eastAsia="Times New Roman" w:hAnsi="Times New Roman"/>
          <w:sz w:val="20"/>
          <w:szCs w:val="20"/>
          <w:lang w:eastAsia="ru-RU"/>
        </w:rPr>
      </w:pPr>
      <w:r w:rsidRPr="0007446A">
        <w:rPr>
          <w:rFonts w:ascii="Times New Roman" w:eastAsia="Times New Roman" w:hAnsi="Times New Roman"/>
          <w:sz w:val="20"/>
          <w:szCs w:val="20"/>
          <w:lang w:eastAsia="ru-RU"/>
        </w:rPr>
        <w:t xml:space="preserve">За наслідками 2023 року платники мають право отримати податкову знижку по 31 грудня 2024 року (включно). </w:t>
      </w:r>
    </w:p>
    <w:p w:rsidR="0025471C" w:rsidRPr="0007446A" w:rsidRDefault="0025471C" w:rsidP="0025471C">
      <w:pPr>
        <w:spacing w:after="0" w:line="240" w:lineRule="auto"/>
        <w:jc w:val="both"/>
        <w:rPr>
          <w:rFonts w:ascii="Times New Roman" w:eastAsia="Times New Roman" w:hAnsi="Times New Roman"/>
          <w:sz w:val="20"/>
          <w:szCs w:val="20"/>
          <w:lang w:eastAsia="ru-RU"/>
        </w:rPr>
      </w:pPr>
      <w:r w:rsidRPr="0007446A">
        <w:rPr>
          <w:rFonts w:ascii="Times New Roman" w:eastAsia="Times New Roman" w:hAnsi="Times New Roman"/>
          <w:sz w:val="20"/>
          <w:szCs w:val="20"/>
          <w:lang w:eastAsia="ru-RU"/>
        </w:rPr>
        <w:lastRenderedPageBreak/>
        <w:t xml:space="preserve">Звертаємо увагу, що відповідно до п.п. 166.4.3 п. 166.4 ст. 166 ПДФО, якщо платник податку до кінця податкового року, наступного за звітним не скористався правом на нарахування податкової знижки за наслідками звітного податкового року, таке право на наступні податкові роки не переноситься. </w:t>
      </w:r>
    </w:p>
    <w:p w:rsidR="008D5BB3" w:rsidRDefault="008D5BB3" w:rsidP="0025471C">
      <w:pPr>
        <w:spacing w:after="0" w:line="240" w:lineRule="auto"/>
        <w:outlineLvl w:val="0"/>
        <w:rPr>
          <w:rFonts w:ascii="Times New Roman" w:eastAsia="Times New Roman" w:hAnsi="Times New Roman"/>
          <w:b/>
          <w:bCs/>
          <w:kern w:val="36"/>
          <w:sz w:val="20"/>
          <w:szCs w:val="20"/>
          <w:lang w:val="uk-UA" w:eastAsia="ru-RU"/>
        </w:rPr>
      </w:pPr>
    </w:p>
    <w:p w:rsidR="0025471C" w:rsidRPr="0025471C" w:rsidRDefault="0025471C" w:rsidP="0025471C">
      <w:pPr>
        <w:spacing w:after="0" w:line="240" w:lineRule="auto"/>
        <w:outlineLvl w:val="0"/>
        <w:rPr>
          <w:rFonts w:ascii="Times New Roman" w:eastAsia="Times New Roman" w:hAnsi="Times New Roman"/>
          <w:b/>
          <w:bCs/>
          <w:kern w:val="36"/>
          <w:sz w:val="20"/>
          <w:szCs w:val="20"/>
          <w:lang w:val="uk-UA" w:eastAsia="ru-RU"/>
        </w:rPr>
      </w:pPr>
      <w:r w:rsidRPr="0025471C">
        <w:rPr>
          <w:rFonts w:ascii="Times New Roman" w:eastAsia="Times New Roman" w:hAnsi="Times New Roman"/>
          <w:b/>
          <w:bCs/>
          <w:kern w:val="36"/>
          <w:sz w:val="20"/>
          <w:szCs w:val="20"/>
          <w:lang w:val="uk-UA" w:eastAsia="ru-RU"/>
        </w:rPr>
        <w:t>Суб’єкт господарювання здійснює діяльність у сфері організації та проведення азартних ігор: чи застосовувати РРО та/або ПРРО?</w:t>
      </w:r>
    </w:p>
    <w:p w:rsidR="0025471C" w:rsidRPr="0025471C" w:rsidRDefault="0025471C" w:rsidP="0025471C">
      <w:pPr>
        <w:spacing w:after="0" w:line="240" w:lineRule="auto"/>
        <w:jc w:val="both"/>
        <w:rPr>
          <w:rFonts w:ascii="Times New Roman" w:eastAsia="Times New Roman" w:hAnsi="Times New Roman"/>
          <w:sz w:val="20"/>
          <w:szCs w:val="20"/>
          <w:lang w:val="uk-UA" w:eastAsia="ru-RU"/>
        </w:rPr>
      </w:pPr>
      <w:r w:rsidRPr="0025471C">
        <w:rPr>
          <w:rFonts w:ascii="Times New Roman" w:eastAsia="Times New Roman" w:hAnsi="Times New Roman"/>
          <w:sz w:val="20"/>
          <w:szCs w:val="20"/>
          <w:lang w:val="uk-UA" w:eastAsia="ru-RU"/>
        </w:rPr>
        <w:t xml:space="preserve">Головне управління ДПС у Дніпропетровській області нагадує, що 01.12.2024 набрав чинності Закон України від 10 жовтня 2024 року № 4015-ІХ «Про внесення змін до Податкового кодексу України та інших законів України щодо забезпечення збалансованості бюджетних надходжень у період дії воєнного стану», яким внесено зміни, зокрема, до ст. 9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 265). </w:t>
      </w:r>
    </w:p>
    <w:p w:rsidR="0025471C" w:rsidRPr="00A22A97" w:rsidRDefault="0025471C" w:rsidP="0025471C">
      <w:pPr>
        <w:spacing w:after="0" w:line="240" w:lineRule="auto"/>
        <w:jc w:val="both"/>
        <w:rPr>
          <w:rFonts w:ascii="Times New Roman" w:eastAsia="Times New Roman" w:hAnsi="Times New Roman"/>
          <w:sz w:val="20"/>
          <w:szCs w:val="20"/>
          <w:lang w:val="uk-UA" w:eastAsia="ru-RU"/>
        </w:rPr>
      </w:pPr>
      <w:r w:rsidRPr="00A22A97">
        <w:rPr>
          <w:rFonts w:ascii="Times New Roman" w:eastAsia="Times New Roman" w:hAnsi="Times New Roman"/>
          <w:sz w:val="20"/>
          <w:szCs w:val="20"/>
          <w:lang w:val="uk-UA" w:eastAsia="ru-RU"/>
        </w:rPr>
        <w:t xml:space="preserve">Частиною другою ст. 9 Закону № 265 визначено, що положення ст. 9 Закону № 265 не звільняють від обов’язку застосування реєстраторів розрахункових операцій (далі – РРО) та/або програмних РРО під час здійснення діяльності у сфері організації та проведення азартних ігор, у тому числі під час прийняття або повернення коштів, внесених прямо або опосередковано для участі в азартних іграх, виплати коштів гравцям, а також продажу та/або обміну ігрових замінників гривні, у тому числі електронних грошових замінників. </w:t>
      </w:r>
    </w:p>
    <w:p w:rsidR="0025471C" w:rsidRDefault="0025471C">
      <w:pPr>
        <w:rPr>
          <w:lang w:val="uk-UA"/>
        </w:rPr>
      </w:pPr>
    </w:p>
    <w:p w:rsidR="0025471C" w:rsidRPr="0025471C" w:rsidRDefault="0025471C">
      <w:pPr>
        <w:rPr>
          <w:lang w:val="uk-UA"/>
        </w:rPr>
      </w:pPr>
    </w:p>
    <w:sectPr w:rsidR="0025471C" w:rsidRPr="0025471C" w:rsidSect="00EC38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AEA"/>
    <w:rsid w:val="002339F8"/>
    <w:rsid w:val="0025471C"/>
    <w:rsid w:val="00636583"/>
    <w:rsid w:val="007B1AEA"/>
    <w:rsid w:val="008D5BB3"/>
    <w:rsid w:val="00A22A97"/>
    <w:rsid w:val="00A65715"/>
    <w:rsid w:val="00EC382D"/>
    <w:rsid w:val="00EE45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CE1DD0-185B-4F6D-9F6F-76BF5741B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5715"/>
    <w:rPr>
      <w:rFonts w:ascii="Calibri" w:eastAsia="Calibri" w:hAnsi="Calibri" w:cs="Times New Roman"/>
    </w:rPr>
  </w:style>
  <w:style w:type="paragraph" w:styleId="1">
    <w:name w:val="heading 1"/>
    <w:basedOn w:val="a"/>
    <w:link w:val="10"/>
    <w:uiPriority w:val="9"/>
    <w:qFormat/>
    <w:rsid w:val="00A65715"/>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6571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A65715"/>
    <w:rPr>
      <w:rFonts w:ascii="Times New Roman" w:eastAsia="Times New Roman" w:hAnsi="Times New Roman" w:cs="Times New Roman"/>
      <w:b/>
      <w:bCs/>
      <w:kern w:val="36"/>
      <w:sz w:val="48"/>
      <w:szCs w:val="48"/>
      <w:lang w:eastAsia="ru-RU"/>
    </w:rPr>
  </w:style>
  <w:style w:type="character" w:styleId="a4">
    <w:name w:val="Hyperlink"/>
    <w:uiPriority w:val="99"/>
    <w:unhideWhenUsed/>
    <w:rsid w:val="00A657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baneryi/onlayn-navchannya/podatok-na-dodanu-vartist/"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tax.gov.ua/baneryi/onlayn-navchannya" TargetMode="External"/><Relationship Id="rId12" Type="http://schemas.openxmlformats.org/officeDocument/2006/relationships/hyperlink" Target="https://tax.gov.ua/baneryi/onlayn-navchannya/ekologichniy-podatok/podatkova-zvitnist/poryadok-skladennya-/845598.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ax.gov.ua/media-tsentr/novini/846662.html)" TargetMode="External"/><Relationship Id="rId11" Type="http://schemas.openxmlformats.org/officeDocument/2006/relationships/hyperlink" Target="https://tax.gov.ua/baneryi/onlayn-navchannya/ekologichniy-podatok/" TargetMode="External"/><Relationship Id="rId5" Type="http://schemas.openxmlformats.org/officeDocument/2006/relationships/hyperlink" Target="https://tax.gov.ua/zakonodavstvo/podatkove-zakonodavstvo/listi-dps/79183.html" TargetMode="External"/><Relationship Id="rId10" Type="http://schemas.openxmlformats.org/officeDocument/2006/relationships/hyperlink" Target="https://tax.gov.ua/baneryi/onlayn-navchannya/podatok-na-dodanu-vartist/yuridichni-osobi/podatkova-zvitnist/poryadok-skladennya-ta-vnesennya-zmin/846867.html" TargetMode="External"/><Relationship Id="rId4" Type="http://schemas.openxmlformats.org/officeDocument/2006/relationships/hyperlink" Target="https://dp.tax.gov.ua/rahunki-dlya-splati-platejiv" TargetMode="External"/><Relationship Id="rId9" Type="http://schemas.openxmlformats.org/officeDocument/2006/relationships/hyperlink" Target="https://tax.gov.ua/baneryi/onlayn-navchannya/podatok-na-dodanu-vartist/yuridichni-osobi/podatkova-zvitnist/poryadok-skladennya-ta-vnesennya-zmin/843332.htm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7894</Words>
  <Characters>45000</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Ispolkom</cp:lastModifiedBy>
  <cp:revision>2</cp:revision>
  <dcterms:created xsi:type="dcterms:W3CDTF">2024-12-17T09:22:00Z</dcterms:created>
  <dcterms:modified xsi:type="dcterms:W3CDTF">2024-12-17T09:22:00Z</dcterms:modified>
</cp:coreProperties>
</file>