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2F2" w:rsidRPr="00E460A5" w:rsidRDefault="008412F2" w:rsidP="008412F2">
      <w:pPr>
        <w:spacing w:after="0" w:line="240" w:lineRule="auto"/>
        <w:outlineLvl w:val="0"/>
        <w:rPr>
          <w:rFonts w:ascii="Times New Roman" w:eastAsia="Times New Roman" w:hAnsi="Times New Roman" w:cs="Times New Roman"/>
          <w:b/>
          <w:bCs/>
          <w:kern w:val="36"/>
          <w:sz w:val="20"/>
          <w:szCs w:val="20"/>
          <w:lang w:eastAsia="ru-RU"/>
        </w:rPr>
      </w:pPr>
      <w:r w:rsidRPr="00E460A5">
        <w:rPr>
          <w:rFonts w:ascii="Times New Roman" w:eastAsia="Times New Roman" w:hAnsi="Times New Roman" w:cs="Times New Roman"/>
          <w:b/>
          <w:bCs/>
          <w:kern w:val="36"/>
          <w:sz w:val="20"/>
          <w:szCs w:val="20"/>
          <w:lang w:eastAsia="ru-RU"/>
        </w:rPr>
        <w:t>Леся Карнаух: АТ «Південний ГЗК» має сплатити до бюджету 3,7 млрд грн – суд вдруге підтвердив правомірність позиції ДПС</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Верховний Суд вдруге підтвердив правомірність позиції Державної податкової служби України у справі щодо АТ «Південний ГЗК». Про це повідомила в. о. Голови ДПС Леся Карнаух на своїй Facebook-сторінці.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За її словами, вимоги ДПС визнані обґрунтованими та законними.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«Підприємство має сплатити до бюджету 3,7 млрд грн! Це сума податкових зобов’язань і штрафів за неправомірне застосування пільг при виплаті дивідендів кіпрським компаніям, які виявилися «технічними». Підприємство незаконно застосувало ставку оподаткування 5%», – зазначила Леся Карнаух.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Донарахована ДПС сума складається з: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- 2,98 млрд грн основного платежу;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  0,8 млрд грн штрафів.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Як зауважила Леся Карнаух, у квітні Верховний Суд вже ухвалив одну постанову на користь позиції ДПС.  Але «Південний ГЗК» вирішив не платити та знову пішов шляхом оскарження у суді – нібито знайшли якісь «нововиявлені обставини», невраховані деталі.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Після ретельного аналізу аргументів позивача Верховний суд відмовив у задоволенні заяви «Південний ГЗК» про перегляд за нововиявленими обставинами. Таким чином суд знову підтримав правомірність висновків податкової. </w:t>
      </w:r>
    </w:p>
    <w:p w:rsidR="008412F2" w:rsidRPr="00E460A5" w:rsidRDefault="008412F2" w:rsidP="008412F2">
      <w:pPr>
        <w:spacing w:after="0" w:line="240" w:lineRule="auto"/>
        <w:jc w:val="both"/>
        <w:rPr>
          <w:rFonts w:ascii="Times New Roman" w:eastAsia="Times New Roman" w:hAnsi="Times New Roman" w:cs="Times New Roman"/>
          <w:sz w:val="20"/>
          <w:szCs w:val="20"/>
          <w:lang w:eastAsia="ru-RU"/>
        </w:rPr>
      </w:pPr>
      <w:r w:rsidRPr="00E460A5">
        <w:rPr>
          <w:rFonts w:ascii="Times New Roman" w:eastAsia="Times New Roman" w:hAnsi="Times New Roman" w:cs="Times New Roman"/>
          <w:sz w:val="20"/>
          <w:szCs w:val="20"/>
          <w:lang w:eastAsia="ru-RU"/>
        </w:rPr>
        <w:t xml:space="preserve">«На жаль, деякі платники зловживають процесуальними правами, затягують час. Але виконувати рішення суду доведеться, гроші мають бути сплачені до бюджету. Розраховуємо на добросовісність бізнесу, особливо в умовах, коли країні потрібні кошти на оборону», – наголосила Леся Карнаух. </w:t>
      </w:r>
    </w:p>
    <w:p w:rsidR="00C47724" w:rsidRPr="008412F2" w:rsidRDefault="00C47724" w:rsidP="00C47724">
      <w:pPr>
        <w:spacing w:after="0" w:line="240" w:lineRule="auto"/>
        <w:rPr>
          <w:rFonts w:ascii="Times New Roman" w:hAnsi="Times New Roman" w:cs="Times New Roman"/>
          <w:b/>
          <w:sz w:val="20"/>
          <w:szCs w:val="20"/>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Про ставки податків, зборів, єдиного внеску та ліміти доходів: нагадування ФОПам – платникам єдиного податку</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фізичним особам – підприємцям (ФОП), що у 2025 році діють такі стандарти: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мінімальна заробітна плата (МЗП): з 01.01.2025 по 31.12.2025 8000,00 грн (місячний розмір), 48,00 грн (погодинний розмір;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прожитковий мінімум для працездатних осіб: з 01.01.2025 по 31.12.2025 3028,00 грн;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ставка єдиного податку у 2025 році: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1 група: до 10% від прожиткового мінімуму для працездатних осіб на 1 січня 2025 року;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2 група: до 20% від МЗП на 01 січня 2025 року;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3 група: 3% від доходу (при сплаті ПДВ) або  5% від доходу (без уплати ПДВ);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4 група: ставка з 1 га залежно від виду.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ставка військового збору для ФОПів – платників єдиного податку: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1, 2 та 4 групи: 10% від МЗП на 01 січня 2025 року (до 800,00 грн);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3 група: 1% від доходу.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ставки податку, військового збору та єдиного внеску для ФОПів: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1 група: єдиний податок: до 302,80 грн/міс; єдиний внесок (за себе): 1760  грн/міс; військовий збір - 800  грн/міс;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2 група: єдиний податок: до 1600 грн/міс; єдиний внесок (за себе): 1760  грн/міс; військовий збір - 800  грн/міс;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3 група: єдиний податок: 5% або  3% + ПДВ від доходу; єдиний внесок (за себе): 1760  грн/міс; військовий збір - 1% від доходу;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4 група: єдиний податок: 5 Ставка з 1 га залежно від виду; єдиний внесок (за себе): 1760  грн/міс; військовий збір – 800  грн/міс;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граничний обсяг доходу для платників єдиного податку: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1 група: 1 336 000 грн (167 розмірів МЗП) ;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2 група: 6 672 000 грн (834 розмірів МЗП) ;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3 група: 9 336 000 грн (1167 розмірів МЗП);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4 група: 6 672 000 грн (834 розмірів МЗП).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i/>
          <w:iCs/>
          <w:sz w:val="20"/>
          <w:szCs w:val="20"/>
          <w:lang w:eastAsia="ru-RU"/>
        </w:rPr>
        <w:t>Єдиний податок та військовий збір мають право не сплачувати ФОПи – платники єдиного податку 1 та 2 груп, податкова адреса яких знаходиться на територіях активних бойових дій чи на тимчасово окупованих територіях. Крім того, за певних умов ФОПи, які мобілізовані, звільняються від сплати єдиного податку та військового збору.</w:t>
      </w:r>
      <w:r w:rsidRPr="00C8565B">
        <w:rPr>
          <w:rFonts w:ascii="Times New Roman" w:eastAsia="Times New Roman" w:hAnsi="Times New Roman" w:cs="Times New Roman"/>
          <w:sz w:val="20"/>
          <w:szCs w:val="20"/>
          <w:lang w:eastAsia="ru-RU"/>
        </w:rPr>
        <w:t xml:space="preserve"> </w:t>
      </w:r>
    </w:p>
    <w:p w:rsidR="00C47724" w:rsidRPr="00C47724" w:rsidRDefault="00C47724" w:rsidP="00C47724">
      <w:pPr>
        <w:spacing w:after="0" w:line="240" w:lineRule="auto"/>
        <w:outlineLvl w:val="0"/>
        <w:rPr>
          <w:rFonts w:ascii="Times New Roman" w:eastAsia="Times New Roman" w:hAnsi="Times New Roman" w:cs="Times New Roman"/>
          <w:b/>
          <w:bCs/>
          <w:kern w:val="36"/>
          <w:sz w:val="20"/>
          <w:szCs w:val="20"/>
          <w:lang w:eastAsia="ru-RU"/>
        </w:rPr>
      </w:pPr>
    </w:p>
    <w:p w:rsidR="001B51FB" w:rsidRPr="0093449B" w:rsidRDefault="001B51FB" w:rsidP="001B51FB">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Головне управління ДПС у Дніпропетровській області нагадує.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rsidR="001B51FB" w:rsidRPr="0093449B" w:rsidRDefault="001B51FB" w:rsidP="001B51FB">
      <w:pPr>
        <w:pStyle w:val="a3"/>
        <w:spacing w:before="0" w:beforeAutospacing="0" w:after="0" w:afterAutospacing="0"/>
        <w:jc w:val="both"/>
        <w:rPr>
          <w:sz w:val="20"/>
          <w:szCs w:val="20"/>
        </w:rPr>
      </w:pPr>
      <w:r w:rsidRPr="0093449B">
        <w:rPr>
          <w:rStyle w:val="a7"/>
          <w:sz w:val="20"/>
          <w:szCs w:val="20"/>
          <w:u w:val="single"/>
        </w:rPr>
        <w:t>Крок 1.</w:t>
      </w:r>
      <w:r w:rsidRPr="0093449B">
        <w:rPr>
          <w:sz w:val="20"/>
          <w:szCs w:val="20"/>
        </w:rPr>
        <w:t> Наберіть номер телефону </w:t>
      </w:r>
      <w:hyperlink r:id="rId6" w:history="1">
        <w:r w:rsidRPr="0093449B">
          <w:rPr>
            <w:rStyle w:val="a5"/>
            <w:sz w:val="20"/>
            <w:szCs w:val="20"/>
          </w:rPr>
          <w:t>0800-501-007</w:t>
        </w:r>
      </w:hyperlink>
      <w:r w:rsidRPr="0093449B">
        <w:rPr>
          <w:sz w:val="20"/>
          <w:szCs w:val="20"/>
        </w:rPr>
        <w:t xml:space="preserve">. </w:t>
      </w:r>
    </w:p>
    <w:p w:rsidR="001B51FB" w:rsidRPr="0093449B" w:rsidRDefault="001B51FB" w:rsidP="001B51FB">
      <w:pPr>
        <w:pStyle w:val="a3"/>
        <w:spacing w:before="0" w:beforeAutospacing="0" w:after="0" w:afterAutospacing="0"/>
        <w:jc w:val="both"/>
        <w:rPr>
          <w:sz w:val="20"/>
          <w:szCs w:val="20"/>
        </w:rPr>
      </w:pPr>
      <w:r w:rsidRPr="0093449B">
        <w:rPr>
          <w:rStyle w:val="a7"/>
          <w:sz w:val="20"/>
          <w:szCs w:val="20"/>
          <w:u w:val="single"/>
        </w:rPr>
        <w:lastRenderedPageBreak/>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послідовно оберіть напрямок «5» та натисніть «1». </w:t>
      </w:r>
    </w:p>
    <w:p w:rsidR="001B51FB" w:rsidRPr="0093449B" w:rsidRDefault="001B51FB" w:rsidP="001B51FB">
      <w:pPr>
        <w:pStyle w:val="a3"/>
        <w:spacing w:before="0" w:beforeAutospacing="0" w:after="0" w:afterAutospacing="0"/>
        <w:jc w:val="both"/>
        <w:rPr>
          <w:sz w:val="20"/>
          <w:szCs w:val="20"/>
        </w:rPr>
      </w:pPr>
      <w:r w:rsidRPr="0093449B">
        <w:rPr>
          <w:rStyle w:val="a7"/>
          <w:sz w:val="20"/>
          <w:szCs w:val="20"/>
          <w:u w:val="single"/>
        </w:rPr>
        <w:t>Крок 3.</w:t>
      </w:r>
      <w:r w:rsidRPr="0093449B">
        <w:rPr>
          <w:sz w:val="20"/>
          <w:szCs w:val="20"/>
        </w:rPr>
        <w:t xml:space="preserve"> Зачекайте з’єднання з працівником та залиште Інформацію.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1B51FB" w:rsidRPr="0093449B" w:rsidRDefault="001B51FB" w:rsidP="001B51FB">
      <w:pPr>
        <w:pStyle w:val="a3"/>
        <w:spacing w:before="0" w:beforeAutospacing="0" w:after="0" w:afterAutospacing="0"/>
        <w:jc w:val="both"/>
        <w:rPr>
          <w:sz w:val="20"/>
          <w:szCs w:val="20"/>
        </w:rPr>
      </w:pPr>
      <w:r w:rsidRPr="0093449B">
        <w:rPr>
          <w:rStyle w:val="a7"/>
          <w:sz w:val="20"/>
          <w:szCs w:val="20"/>
          <w:u w:val="single"/>
        </w:rPr>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7" w:history="1">
        <w:r w:rsidRPr="0093449B">
          <w:rPr>
            <w:rStyle w:val="a5"/>
            <w:sz w:val="20"/>
            <w:szCs w:val="20"/>
          </w:rPr>
          <w:t>idd@tax.gov.ua</w:t>
        </w:r>
      </w:hyperlink>
      <w:r w:rsidRPr="0093449B">
        <w:rPr>
          <w:sz w:val="20"/>
          <w:szCs w:val="20"/>
        </w:rPr>
        <w:t xml:space="preserve"> .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1B51FB" w:rsidRPr="0093449B" w:rsidRDefault="001B51FB" w:rsidP="001B51FB">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соціальне страхування, що надходять електронною поштою. </w:t>
      </w:r>
    </w:p>
    <w:p w:rsidR="00C47724" w:rsidRPr="001B51FB" w:rsidRDefault="00C47724" w:rsidP="00C47724">
      <w:pPr>
        <w:spacing w:after="0" w:line="240" w:lineRule="auto"/>
        <w:outlineLvl w:val="0"/>
        <w:rPr>
          <w:rFonts w:ascii="Times New Roman" w:eastAsia="Times New Roman" w:hAnsi="Times New Roman" w:cs="Times New Roman"/>
          <w:b/>
          <w:bCs/>
          <w:kern w:val="36"/>
          <w:sz w:val="20"/>
          <w:szCs w:val="20"/>
          <w:lang w:eastAsia="ru-RU"/>
        </w:rPr>
      </w:pPr>
    </w:p>
    <w:p w:rsidR="00C47724" w:rsidRP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r w:rsidRPr="00C47724">
        <w:rPr>
          <w:rFonts w:ascii="Times New Roman" w:eastAsia="Times New Roman" w:hAnsi="Times New Roman" w:cs="Times New Roman"/>
          <w:b/>
          <w:bCs/>
          <w:kern w:val="36"/>
          <w:sz w:val="20"/>
          <w:szCs w:val="20"/>
          <w:lang w:val="uk-UA" w:eastAsia="ru-RU"/>
        </w:rPr>
        <w:t>Консультування мобілізованих самозайнятих осіб – важливий напрямок діяльності податкової служби Дніпропетровщини</w:t>
      </w:r>
    </w:p>
    <w:p w:rsidR="00C47724" w:rsidRPr="00C47724" w:rsidRDefault="00C47724" w:rsidP="00C47724">
      <w:pPr>
        <w:spacing w:after="0" w:line="240" w:lineRule="auto"/>
        <w:jc w:val="both"/>
        <w:rPr>
          <w:rFonts w:ascii="Times New Roman" w:eastAsia="Times New Roman" w:hAnsi="Times New Roman" w:cs="Times New Roman"/>
          <w:sz w:val="20"/>
          <w:szCs w:val="20"/>
          <w:lang w:val="uk-UA" w:eastAsia="ru-RU"/>
        </w:rPr>
      </w:pPr>
      <w:r w:rsidRPr="00C47724">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для надання консультацій з податкових питань мобілізованим самозайнятим особам та ветеранам, які не мають можливості виконувати податкові обов’язки, а також членам їх родин, в ГУ ДПС працюють номери телефонів «гарячих ліній»: (096) 862 10 70, (095) 159 09 70, (093) 606 30 45, (099) 510 11 50.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 цими номерами телефонів «гарячих ліній» можна отримати роз’яснення і консультації з питань щодо: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сплати єдиного внеску мобілізованими особами – підприємцями;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порядку подання заяви про неможливість виконання податкового обов’язку мобілізованими особами, її заповнення та підтверджуючі документи, які необхідно додати до заяви;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відмови від застосування спрощеної системи оподаткування. </w:t>
      </w:r>
    </w:p>
    <w:p w:rsid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p>
    <w:p w:rsidR="001B51FB" w:rsidRPr="00CD0A53" w:rsidRDefault="001B51FB" w:rsidP="001B51FB">
      <w:pPr>
        <w:spacing w:after="0" w:line="240" w:lineRule="auto"/>
        <w:outlineLvl w:val="0"/>
        <w:rPr>
          <w:rFonts w:ascii="Times New Roman" w:eastAsia="Times New Roman" w:hAnsi="Times New Roman"/>
          <w:b/>
          <w:bCs/>
          <w:kern w:val="36"/>
          <w:sz w:val="20"/>
          <w:szCs w:val="20"/>
          <w:lang w:eastAsia="ru-RU"/>
        </w:rPr>
      </w:pPr>
      <w:r w:rsidRPr="00CD0A53">
        <w:rPr>
          <w:rFonts w:ascii="Times New Roman" w:eastAsia="Times New Roman" w:hAnsi="Times New Roman"/>
          <w:b/>
          <w:bCs/>
          <w:kern w:val="36"/>
          <w:sz w:val="20"/>
          <w:szCs w:val="20"/>
          <w:lang w:eastAsia="ru-RU"/>
        </w:rPr>
        <w:t>Чи має право на податкову знижку фізична особа – підприємець?</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Головне управління ДПС у Дніпропетровській області нагадує.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Відповідно до п.п. 14.1.170 п. 14.1 ст. 14 Податкового кодексу України (далі – ПКУ) 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п.14.1 ст.14 ПКУ).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Підпунктом 14.1.49 п. 14.1 ст. 14 ПКУ визначено, що 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обліку.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Порядок застосування податкової знижки передбачений ст. 166 ПКУ.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Підпунктом 166.4.2 п. 166.4 ст. 166 ПКУ встановлено, що загальна сума податкової знижки, нарахована платнику податку на доходи фізичних осіб (податок) в звітному податковому році, не може перевищувати суми річного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Згідно з п.п. 166.4.4 п. 166.4 ст. 166 ПКУ сума податкової знижки, нарахована платнику податку у звітному податковому році, у разі включення до податкової знижки витрат, передбачених п.п. 166.3.10 п. 166.3 ст. 166 ПКУ, розраховується окремо від інших витрат та не може перевищувати суму річного загального </w:t>
      </w:r>
      <w:r w:rsidRPr="00CD0A53">
        <w:rPr>
          <w:rFonts w:ascii="Times New Roman" w:eastAsia="Times New Roman" w:hAnsi="Times New Roman"/>
          <w:sz w:val="20"/>
          <w:szCs w:val="20"/>
          <w:lang w:eastAsia="ru-RU"/>
        </w:rPr>
        <w:lastRenderedPageBreak/>
        <w:t xml:space="preserve">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При цьому, п.п. 166.3.10 п. 166.3 ст. 166 ПКУ передбачено, що платник податку має право включити до податкової знижки у зменшення оподатковуваного доходу у вигляді дивідендів, крім сум дивідендів, які не включаються до розрахунку загального місячного (річного) оподатковуваного доходу, фактично здійснені ним протягом звітного податкового року витрати на придбання акцій (інших корпоративних прав), емітентом яких є юридична особа, яка набула статус резидента Дія Сіті згідно з частиною третьою ст. 5 Закону України від 15 липня 2021 року № 1667-ІХ «Про стимулювання розвитку цифрової економіки в Україні» (далі – Закон № 1667), за умови що такі витрати були понесені платником податку до набуття емітентом статусу резидента Дія Сіті або впродовж періоду, коли такий резидент Дія Сіті відповідав вимозі, встановленій п. 3 частини третьої ст. 5 Закону № 1667.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Враховуючи викладене, фізична особа – підприємець має право на податкову знижку виключно як фізична особа у разі, якщо така фізична особа: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 є найманою особою та отримує доходи у вигляді заробітної плати </w:t>
      </w:r>
    </w:p>
    <w:p w:rsidR="001B51FB" w:rsidRPr="00CD0A53" w:rsidRDefault="001B51FB" w:rsidP="001B51F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 та/або отримує доходи у вигляді дивідендів по акціях (інших корпоративних правах), емітентом яких є юридична особа, що має статус резидента Дія Сіті. </w:t>
      </w:r>
    </w:p>
    <w:p w:rsidR="001B51FB" w:rsidRPr="001B51FB" w:rsidRDefault="001B51FB"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Рентна плата: майже 37,5 млн грн надійшло до загального фонду держбюджету від платників Дніпропетровщини за користування надрами</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Упродовж п’яти місяців поточного року платники Дніпропетровської області за користування надрами спрямували до загального фонду державного бюджету майже 37,5 млн гривень.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Інформуємо, що базовий податковий (звітний) період для рентної плати за користування надрами для видобування корисних копалин (за винятком рентної плати за користування надрами для видобування корисних копалин за видобування нафти, конденсату, природного газу, у тому числі газу, розчиненого у нафті (нафтового (попутного) газу), етану, пропану, бутану (далі – рентна плата за користування надрами для видобування вуглеводної сировини)) дорівнює календарному кварталу.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Платник рентної плати за користування надрами для видобування корисних копалин (крім рентної плати за користування надрами для видобування вуглеводної сировини) протягом 40 календарних днів, що настають за останнім календарним днем звітного (податкового) кварталу, подає до контролюючого органу декларацію з рентної плати та додаток з рентної плати за користування надрами для видобування корисних копалин: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за місцезнаходженням ділянки надр, з якої видобуті корисні копалини, у разі розміщення такої ділянки надр у межах території України;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за місцем обліку платника рентної плати у разі розміщення ділянки надр, з якої видобуто корисні копалини, в межах континентального шельфу та/або виключної (морської) економічної зони України.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Сума податкових зобов’язань з рентної плати за користування надрами для видобування корисних копалин (крім рентної плати за користування надрами для видобування вуглеводної сировини), визначена у податковій декларації за податковий (звітний) квартал, сплачується платником до бюджету протягом 10 календарних днів після закінчення граничного строку подання такої податкової декларації.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Слід зазначити, що у разі якщо місце обліку платника рентної плати не збігається з місцезнаходженням ділянки надр, платник рентної плати за користування надрами для видобування корисних копалин подає за місцем податкової реєстрації платника або уповноваженої особи копію податкової декларації та копію платіжного документа про сплату податкових зобов’язань з рентної плати. </w:t>
      </w:r>
    </w:p>
    <w:p w:rsidR="00C47724" w:rsidRPr="00C47724" w:rsidRDefault="00C47724" w:rsidP="00C47724">
      <w:pPr>
        <w:spacing w:after="0" w:line="240" w:lineRule="auto"/>
        <w:outlineLvl w:val="0"/>
        <w:rPr>
          <w:rFonts w:ascii="Times New Roman" w:eastAsia="Times New Roman" w:hAnsi="Times New Roman" w:cs="Times New Roman"/>
          <w:b/>
          <w:bCs/>
          <w:kern w:val="36"/>
          <w:sz w:val="20"/>
          <w:szCs w:val="20"/>
          <w:lang w:eastAsia="ru-RU"/>
        </w:rPr>
      </w:pPr>
    </w:p>
    <w:p w:rsidR="00C47724" w:rsidRPr="00C8565B" w:rsidRDefault="00C47724" w:rsidP="00C47724">
      <w:pPr>
        <w:pStyle w:val="1"/>
        <w:spacing w:before="0" w:beforeAutospacing="0" w:after="0" w:afterAutospacing="0"/>
        <w:rPr>
          <w:sz w:val="20"/>
          <w:szCs w:val="20"/>
        </w:rPr>
      </w:pPr>
      <w:r w:rsidRPr="00C8565B">
        <w:rPr>
          <w:sz w:val="20"/>
          <w:szCs w:val="20"/>
        </w:rPr>
        <w:t>Змінились контактні дані – оновіть їх через Електронний кабінет!</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Головне управління ДПС у Дніпропетровській області звертає увагу, що у разі зміни контактних даних платника податків, їх необхідно оновити.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Це важливо задля оперативного та своєчасного отримання актуальної інформації від контролюючого органу про стан розрахунків та про податкові зобов’язання платника.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Для цього необхідно: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увійти до приватної частини Електронного кабінету </w:t>
      </w:r>
      <w:hyperlink r:id="rId8" w:history="1">
        <w:r w:rsidRPr="00C8565B">
          <w:rPr>
            <w:rStyle w:val="a5"/>
            <w:sz w:val="20"/>
            <w:szCs w:val="20"/>
          </w:rPr>
          <w:t>https://cabinet.tax.gov.ua</w:t>
        </w:r>
      </w:hyperlink>
      <w:r w:rsidRPr="00C8565B">
        <w:rPr>
          <w:sz w:val="20"/>
          <w:szCs w:val="20"/>
        </w:rPr>
        <w:t xml:space="preserve">;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оновити контактну інформацію (номер телефону, електронну пошту тощо): вибрати режим «Введення звітності» зі списку документів та обрати форму заяви J/F 1391602 або J/F 1391702;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перевірити наявність та правильність заповнення полів заяви, натиснувши «Перевірити»;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зберегти та відправити заяву.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Наголошуємо, що електронні сервіси ДПС – це швидка та ефективна комунікація з контролюючими органами, яка забезпечує оперативний зворотний зв’язок від податкової служби у зручному форматі. </w:t>
      </w:r>
    </w:p>
    <w:p w:rsidR="00C47724" w:rsidRPr="00C8565B" w:rsidRDefault="00C47724" w:rsidP="00C47724">
      <w:pPr>
        <w:spacing w:after="0" w:line="240" w:lineRule="auto"/>
        <w:rPr>
          <w:rFonts w:ascii="Times New Roman" w:hAnsi="Times New Roman" w:cs="Times New Roman"/>
          <w:b/>
          <w:sz w:val="20"/>
          <w:szCs w:val="20"/>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Про зміни до розрахункових документів</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з 01.03.2025 субʼєкти господарювання, які надають послуги з виконання платіжних операцій, зобовʼязані видавати фіскальні чеки за новою формою та змістом – фіскальний касовий чек за операціями з приймання коштів для подальшого їх переказу.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Зміни внесені наказом Міністерства фінансів України.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Що зміниться у фіскальних чеках?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lastRenderedPageBreak/>
        <w:t xml:space="preserve">Виключені реквізити: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номер ID картки;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підпис касира;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підпис держателя електронного платіжного засобу.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Додано реквізити: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засіб оплати;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валюта розрахунку;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реквізити паспорта покупця при продажу алкоголю та тютюну в магазинах безмитної торгівлі;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вміст QR-коду доповнено пошуковим запитом для перевірки чека в Системі обліку РРО;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код автентифікації повідомлення (MAC) чека для РРО;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вага одиниці тютюнового виробу (зазначається для сигарил, тютюну та тютюнових виробів, що реалізуються в наборі) та кількість тютюнових виробів в одиниці товару (пачці), міцність алкогольних напоїв та об’єму (у літрах) одиниці товару (пляшки) (для алкогольних напоїв) при продажу у магазинах безмитної торгівлі;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сума решти.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 01 березня 2025 року можна було використовувати старі форми чеків на програмних РРО та касових апаратах, які зареєстровані у Держреєстрі РРО.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Довідково: </w:t>
      </w:r>
    </w:p>
    <w:p w:rsidR="00C47724" w:rsidRPr="001B51FB" w:rsidRDefault="00C47724" w:rsidP="001B51FB">
      <w:pPr>
        <w:spacing w:after="0" w:line="240" w:lineRule="auto"/>
        <w:jc w:val="both"/>
        <w:rPr>
          <w:rFonts w:ascii="Times New Roman" w:eastAsia="Times New Roman" w:hAnsi="Times New Roman" w:cs="Times New Roman"/>
          <w:sz w:val="20"/>
          <w:szCs w:val="20"/>
          <w:lang w:val="uk-UA" w:eastAsia="ru-RU"/>
        </w:rPr>
      </w:pPr>
      <w:r w:rsidRPr="00C8565B">
        <w:rPr>
          <w:rFonts w:ascii="Times New Roman" w:eastAsia="Times New Roman" w:hAnsi="Times New Roman" w:cs="Times New Roman"/>
          <w:sz w:val="20"/>
          <w:szCs w:val="20"/>
          <w:lang w:eastAsia="ru-RU"/>
        </w:rPr>
        <w:t>Зміни до Положення про форму та зміст розрахункових документів/електронних розрахункових документів внесено наказом Міністерства фінансів України від 22.11.2024 № 601 «Про внесення змін до наказу Міністерства фінансів України від 21 січ</w:t>
      </w:r>
      <w:r w:rsidR="001B51FB">
        <w:rPr>
          <w:rFonts w:ascii="Times New Roman" w:eastAsia="Times New Roman" w:hAnsi="Times New Roman" w:cs="Times New Roman"/>
          <w:sz w:val="20"/>
          <w:szCs w:val="20"/>
          <w:lang w:eastAsia="ru-RU"/>
        </w:rPr>
        <w:t>ня 2016 року № 13», зі змінами.</w:t>
      </w:r>
    </w:p>
    <w:p w:rsidR="000E7AC4" w:rsidRPr="00C8565B" w:rsidRDefault="000E7AC4" w:rsidP="000E7AC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 xml:space="preserve">Мета запровадження системи управління комплаєнс-ризиками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метою експериментального проєкту щодо функціонування системи управління податковими ризиками (комплаєнс-ризиками) в Державній податковій службі (ДПС) є впровадження в організацію та діяльність ДПС міжнародних підходів до управління, що ґрунтуються на управлінні податковими ризиками, щодо підвищення рівня дотримання платниками податків своїх податкових обов’язків.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Стратегічна мета управління комплаєнс-ризиками (тобто ризиками дотримання податкового законодавства, далі – податковими ризиками) – це постійне підвищення рівня добровільного дотримання платниками податків вимог податкового законодавства шляхом виявлення та визначення пріоритетності ризиків втрати податкових надходжень і впровадження заходів, спрямованих на мінімізацію ризиків.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ДПС продовжить розвивати систему управління ризиками дотримання податкового законодавства, яка буде інтегрованою в організаційну структуру та процеси діяльності служби. В межах системи управління ризиками дотримання податкового законодавства будуть вживатися заходи реагування на виявлені податкові ризики, спектр яких варіюватиме від сприяння добровільному дотриманню вимог законодавства платниками податків (шляхом їх попередження про податковий ризик та можливість самостійного його усунення) на одному кінці спектру до примусового дотримання вимог (шляхом спрямування податкового контролю на діяльність платників податків, які систематично грубо порушують законодавство) на іншому.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Такий системний підхід до управління податковими ризиками допомагатиме підвищити рівень прозорості та системності в роботі ДПС, забезпечить ефективний розподіл ресурсів, дозволить досягти суттєвої економії часу працівників ДПС та платників податків загалом.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Довідково: комплаєнс у податковій сфері – це комплекс заходів, які здійснюються податковим органом в межах реалізації експериментального проєкту з метою сприяння добровільному дотриманню платниками податків вимог податкового законодавства, іншого законодавства, контроль за дотриманням якого покладено на податкові органи, за наявності підстав, у межах та спосіб, що визначені таким законодавством, шляхом управління податковими ризиками (постанова Кабінету Міністрів України від 25 липня 2024 року № 854). </w:t>
      </w:r>
    </w:p>
    <w:p w:rsidR="000E7AC4" w:rsidRPr="000E7AC4" w:rsidRDefault="000E7AC4" w:rsidP="00C47724">
      <w:pPr>
        <w:spacing w:after="0" w:line="240" w:lineRule="auto"/>
        <w:outlineLvl w:val="0"/>
        <w:rPr>
          <w:rFonts w:ascii="Times New Roman" w:eastAsia="Times New Roman" w:hAnsi="Times New Roman" w:cs="Times New Roman"/>
          <w:b/>
          <w:bCs/>
          <w:kern w:val="36"/>
          <w:sz w:val="20"/>
          <w:szCs w:val="20"/>
          <w:lang w:eastAsia="ru-RU"/>
        </w:rPr>
      </w:pPr>
    </w:p>
    <w:p w:rsidR="000E7AC4" w:rsidRPr="00C8565B" w:rsidRDefault="000E7AC4" w:rsidP="000E7AC4">
      <w:pPr>
        <w:pStyle w:val="1"/>
        <w:spacing w:before="0" w:beforeAutospacing="0" w:after="0" w:afterAutospacing="0"/>
        <w:rPr>
          <w:sz w:val="20"/>
          <w:szCs w:val="20"/>
        </w:rPr>
      </w:pPr>
      <w:r w:rsidRPr="00C8565B">
        <w:rPr>
          <w:sz w:val="20"/>
          <w:szCs w:val="20"/>
        </w:rPr>
        <w:t>Мобільний застосунок «Моя податкова»: подання податкової декларації платником єдиного податку</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Головне управління ДПС у Дніпропетровській області нагадує, що суб’єкти господарювання, які застосовують спрощену систему оподаткування, мають можливість за допомогою мобільного застосунку «Моя податкова» (розміщено на цифрових платформах </w:t>
      </w:r>
      <w:hyperlink r:id="rId9" w:history="1">
        <w:r w:rsidRPr="00C8565B">
          <w:rPr>
            <w:rStyle w:val="a5"/>
            <w:b/>
            <w:bCs/>
            <w:sz w:val="20"/>
            <w:szCs w:val="20"/>
          </w:rPr>
          <w:t>AppStore</w:t>
        </w:r>
      </w:hyperlink>
      <w:r w:rsidRPr="00C8565B">
        <w:rPr>
          <w:sz w:val="20"/>
          <w:szCs w:val="20"/>
        </w:rPr>
        <w:t xml:space="preserve"> або </w:t>
      </w:r>
      <w:hyperlink r:id="rId10" w:history="1">
        <w:r w:rsidRPr="00C8565B">
          <w:rPr>
            <w:rStyle w:val="a5"/>
            <w:b/>
            <w:bCs/>
            <w:sz w:val="20"/>
            <w:szCs w:val="20"/>
          </w:rPr>
          <w:t>GooglePlay</w:t>
        </w:r>
      </w:hyperlink>
      <w:r w:rsidRPr="00C8565B">
        <w:rPr>
          <w:sz w:val="20"/>
          <w:szCs w:val="20"/>
        </w:rPr>
        <w:t xml:space="preserve">) подати податкову декларацію платника єдиного податку.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Для цього необхідно: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ідентифікуватись онлайн за допомогою файлового або хмарного КЕП;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у розділі «Послуги» обрати «Декларація платника єдиного податку (1-2 група)» або «Декларація платника єдиного податку (3 група)»;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обрати потрібний звітний період та додатки * (за необхідності); </w:t>
      </w:r>
    </w:p>
    <w:p w:rsidR="000E7AC4" w:rsidRPr="00C8565B" w:rsidRDefault="000E7AC4" w:rsidP="000E7AC4">
      <w:pPr>
        <w:pStyle w:val="a3"/>
        <w:spacing w:before="0" w:beforeAutospacing="0" w:after="0" w:afterAutospacing="0"/>
        <w:jc w:val="both"/>
        <w:rPr>
          <w:sz w:val="20"/>
          <w:szCs w:val="20"/>
        </w:rPr>
      </w:pPr>
      <w:r w:rsidRPr="00C8565B">
        <w:rPr>
          <w:rStyle w:val="a6"/>
          <w:sz w:val="20"/>
          <w:szCs w:val="20"/>
        </w:rPr>
        <w:t>* для платників єдиного податку Додаток 1 та Додаток 2 подається у складі звітності за рік, крім випадків зміни платником системи оподаткування:</w:t>
      </w:r>
      <w:r w:rsidRPr="00C8565B">
        <w:rPr>
          <w:sz w:val="20"/>
          <w:szCs w:val="20"/>
        </w:rPr>
        <w:t xml:space="preserve">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заповнити необхідні додатки;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зазначити: </w:t>
      </w:r>
    </w:p>
    <w:p w:rsidR="000E7AC4" w:rsidRPr="00C8565B" w:rsidRDefault="000E7AC4" w:rsidP="000E7AC4">
      <w:pPr>
        <w:numPr>
          <w:ilvl w:val="0"/>
          <w:numId w:val="1"/>
        </w:numPr>
        <w:spacing w:after="0" w:line="240" w:lineRule="auto"/>
        <w:ind w:left="0"/>
        <w:jc w:val="both"/>
        <w:rPr>
          <w:rFonts w:ascii="Times New Roman" w:hAnsi="Times New Roman" w:cs="Times New Roman"/>
          <w:sz w:val="20"/>
          <w:szCs w:val="20"/>
        </w:rPr>
      </w:pPr>
      <w:r w:rsidRPr="00C8565B">
        <w:rPr>
          <w:rFonts w:ascii="Times New Roman" w:hAnsi="Times New Roman" w:cs="Times New Roman"/>
          <w:sz w:val="20"/>
          <w:szCs w:val="20"/>
        </w:rPr>
        <w:t xml:space="preserve">фактичну кількість найманих працівників у звітному періоді; </w:t>
      </w:r>
    </w:p>
    <w:p w:rsidR="000E7AC4" w:rsidRPr="00C8565B" w:rsidRDefault="000E7AC4" w:rsidP="000E7AC4">
      <w:pPr>
        <w:numPr>
          <w:ilvl w:val="0"/>
          <w:numId w:val="1"/>
        </w:numPr>
        <w:spacing w:after="0" w:line="240" w:lineRule="auto"/>
        <w:ind w:left="0"/>
        <w:jc w:val="both"/>
        <w:rPr>
          <w:rFonts w:ascii="Times New Roman" w:hAnsi="Times New Roman" w:cs="Times New Roman"/>
          <w:sz w:val="20"/>
          <w:szCs w:val="20"/>
        </w:rPr>
      </w:pPr>
      <w:r w:rsidRPr="00C8565B">
        <w:rPr>
          <w:rFonts w:ascii="Times New Roman" w:hAnsi="Times New Roman" w:cs="Times New Roman"/>
          <w:sz w:val="20"/>
          <w:szCs w:val="20"/>
        </w:rPr>
        <w:lastRenderedPageBreak/>
        <w:t xml:space="preserve">обсяги доходу за звітний період;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підписати КЕП;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 надіслати.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Довідково: наказ Міністерства фінансів України від 31.01.2025 № 57 «Про внесення змін до наказу Міністерства фінансів України від 19 червня 2015 року № 578», який затвердив форми податкових декларацій для всіх груп платників єдиного податку.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Податкові декларації платників єдиного податку для бізнесу (ідентифікатори форм F0103407 та J/F0103309) доступні в Електронному кабінеті.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Презентаційні матеріали щодо подання декларації через мобільний застосунок доступні за посиланням </w:t>
      </w:r>
      <w:hyperlink r:id="rId11" w:history="1">
        <w:r w:rsidRPr="00C8565B">
          <w:rPr>
            <w:rStyle w:val="a5"/>
            <w:sz w:val="20"/>
            <w:szCs w:val="20"/>
          </w:rPr>
          <w:t>https://tax.gov.ua/mobilniy-zastosunok-moya-podatkova/prezentatsiyni-materiali/879290.html</w:t>
        </w:r>
      </w:hyperlink>
      <w:r w:rsidRPr="00C8565B">
        <w:rPr>
          <w:sz w:val="20"/>
          <w:szCs w:val="20"/>
        </w:rPr>
        <w:t xml:space="preserve">. </w:t>
      </w:r>
    </w:p>
    <w:p w:rsid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C8565B" w:rsidRDefault="000E7AC4" w:rsidP="000E7AC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 xml:space="preserve">У юридичної особи – платника єдиного податку і ПДВ анульовано реєстрацію платника ПДВ: яку ставку єдиного податку застосовувати?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абзаців першого – четвертого п. 184.2 ст. 184 Податкового кодексу України (далі – ПКУ) анулювання реєстрації платника податку на додану вартість (далі – ПДВ), на підставі, визначеній у п.п. «а» п. 184.1 ст. 184 ПКУ, здійснюється за заявою платника податку, а на підставах, визначених у підпунктах «б» – «з» п. 184.1 ст. 184 ПКУ, може здійснюватися за заявою платника податку або за самостійним рішенням відповідного контролюючого органу.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Якщо щодо особи, зареєстрованої платником податку до Єдиного державного реєстру юридичних осіб, фізичних осіб – підприємців та громадських формувань, внесено запис про державну реєстрацію припинення юридичної особи (крім перетворення) або підприємницької діяльності фізичної особи – підприємця або якщо до реєстру платників єдиного податку внесено запис про застосування спрощеної системи оподаткування, що не передбачає сплати податку на додану вартість (далі – ПДВ), анулювання реєстрації проводиться контролюючим органом автоматично на підставі відповідних відомостей, отриманих згідно із Законом України від 15 травня 2003 року № 755-VI «Про державну реєстрацію юридичних осіб, фізичних осіб – підприємців та громадських формувань» зі змінами та доповненнями або за даними реєстру платників єдиного податку.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Анулювання реєстрації платника ПДВ здійснюється на дату подання заяви платником ПДВ або прийняття рішення контролюючим органом про анулювання реєстрації.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Контролюючий орган, який прийняв самостійне рішення про анулювання реєстрації платника податку, зобов’язаний письмово повідомити особу протягом трьох робочих днів після дня анулювання такої реєстрації (п. 184.10 ст. 184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Згідно з п.п. 5 п. 293.8 ст. 293 ПКУ у разі анулювання реєстрації платника ПДВ у порядку, встановленому розд. V ПКУ, платники єдиного податку зобов’язані перейти на сплату єдиного податку за ставкою у розмірі 5 відс. (для платників єдиного податку третьої групи) або відмовитися від застосування спрощеної системи оподаткування шляхом подання заяви щодо зміни ставки єдиного податку чи відмови від застосування спрощеної системи оподаткування не пізніше ніж за 15 календарних днів до початку наступного календарного кварталу, в якому здійснено анулювання реєстрації платником ПДВ.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Отже, юридична особа – платник єдиного податку третьої групи, яка з початку року обрала ставку єдиного податку у розмірі 3 відс., що передбачає сплату ПДВ, та якій протягом звітного кварталу було анульовано реєстрацію платника ПДВ, застосовує у такому звітному кварталі ставку єдиного податку у розмірі 3 відс. та не пізніше ніж за 15 календарних днів до початку наступного календарного кварталу зобов’язана подати заяву щодо переходу на сплату єдиного податку за ставкою у розмірі 5 відс., що передбачає включення ПДВ до складу єдиного податку, або заяву щодо відмови від застосування спрощеної системи оподаткування. </w:t>
      </w:r>
    </w:p>
    <w:p w:rsidR="000E7AC4" w:rsidRDefault="000E7AC4" w:rsidP="00C47724">
      <w:pPr>
        <w:spacing w:after="0" w:line="240" w:lineRule="auto"/>
        <w:outlineLvl w:val="0"/>
        <w:rPr>
          <w:rFonts w:ascii="Times New Roman" w:eastAsia="Times New Roman" w:hAnsi="Times New Roman" w:cs="Times New Roman"/>
          <w:b/>
          <w:bCs/>
          <w:kern w:val="36"/>
          <w:sz w:val="20"/>
          <w:szCs w:val="20"/>
          <w:lang w:val="uk-UA" w:eastAsia="ru-RU"/>
        </w:rPr>
      </w:pPr>
    </w:p>
    <w:p w:rsidR="001B51FB" w:rsidRPr="00C8565B" w:rsidRDefault="001B51FB" w:rsidP="001B51FB">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Порядок оформлення результатів документальних перевірок дотримання платниками податкового, валютного та іншого законодавства: що змінилось?</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зміни до Порядку оформлення результатів документальних перевірок дотримання законодавства України з питань податкового, валютного та іншого законодавства платниками податків (затверджено наказом Міністерства фінансів України від 20.08.2015 № 727 (із змінами), зареєстровано в Міністерстві юстиції України від 26.10.2015 за № 1300/27745) внесено наказом Міністерства фінансів України № 151 від 14.03.2025, який набрав чинності 25.04.2025.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Серед основних змін: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контролюючий орган зобов’язаний повідомити платника податків про дату, час та місце / спосіб розгляду матеріалів перевірки, у тому числі в режимі відеоконференції;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інформація (повідомлення) про розгляд податковим органом матеріалів перевірки в режимі відеоконференції надсилається платнику податків в електронному вигляді в електронний кабінет;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визначено процедуру ідентифікації платника податків або його представника, в тому числі у разі розгляду заперечень у режимі відеоконференції, необхідність фіксування відеоконференції за допомогою технічних засобів відеозапису;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lastRenderedPageBreak/>
        <w:t xml:space="preserve">- передбачено, що платник податків повідомляє про участь у розгляді матеріалів перевірки (особисто або через свого представника), у тому числі в режимі відеоконференції, у поданих запереченнях;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 час розгляду матеріалів перевірки в режимі відеоконференції платник податків може надавати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Довідково. </w:t>
      </w:r>
    </w:p>
    <w:p w:rsidR="001B51FB" w:rsidRPr="00C8565B" w:rsidRDefault="001B51FB" w:rsidP="001B51FB">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Наказом Міністерства фінансів України № 151 від 14.03.2025 «Про затвердження Змін до Порядку оформлення результатів документальних перевірок дотримання законодавства України з питань податкового, валютного та іншого законодавства платниками податків», зареєстрованим в Міністерстві юстиції України 27.03.2025 за № 484/43890, внесено зміни до наказу Міністерства фінансів України від 20.08.2015 № 727, зареєстрованого в Міністерстві юстиції України 26.10.2015 за № 1300/27745 (зі змінами). </w:t>
      </w:r>
    </w:p>
    <w:p w:rsidR="001B51FB" w:rsidRDefault="001B51FB" w:rsidP="00C4772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CD0A53" w:rsidRDefault="000E7AC4" w:rsidP="000E7AC4">
      <w:pPr>
        <w:spacing w:after="0" w:line="240" w:lineRule="auto"/>
        <w:outlineLvl w:val="0"/>
        <w:rPr>
          <w:rFonts w:ascii="Times New Roman" w:eastAsia="Times New Roman" w:hAnsi="Times New Roman"/>
          <w:b/>
          <w:bCs/>
          <w:kern w:val="36"/>
          <w:sz w:val="20"/>
          <w:szCs w:val="20"/>
          <w:lang w:eastAsia="ru-RU"/>
        </w:rPr>
      </w:pPr>
      <w:r w:rsidRPr="00532725">
        <w:rPr>
          <w:rFonts w:ascii="Times New Roman" w:eastAsia="Times New Roman" w:hAnsi="Times New Roman"/>
          <w:b/>
          <w:bCs/>
          <w:kern w:val="36"/>
          <w:sz w:val="20"/>
          <w:szCs w:val="20"/>
          <w:lang w:eastAsia="ru-RU"/>
        </w:rPr>
        <w:t>Легалізація робочих місць та заробітної плати, які наслідки порушення трудового законодавства?</w:t>
      </w:r>
    </w:p>
    <w:p w:rsidR="000E7AC4" w:rsidRPr="00CD0A53" w:rsidRDefault="000E7AC4" w:rsidP="000E7AC4">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питання легалізації заробітної плати та погашення заборгованості з її виплати є одним із важливих завдань податкових органів.  </w:t>
      </w:r>
    </w:p>
    <w:p w:rsidR="000E7AC4" w:rsidRPr="00CD0A53" w:rsidRDefault="000E7AC4" w:rsidP="000E7AC4">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Податкова служба Дніпропетровщини разом з органами Держпраці, місцевого самоврядування постійно проводить роз’яснювальну роботу щодо дотримання суб’єктами господарювання законодавства про працю. </w:t>
      </w:r>
    </w:p>
    <w:p w:rsidR="000E7AC4" w:rsidRPr="00CD0A53" w:rsidRDefault="000E7AC4" w:rsidP="000E7AC4">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Нажаль відносини між роботодавцями та найманими працівниками не завжди відповідають нормам трудового законодавства. Погоджуючись на роботу, яка офіційно не оформлена або не повністю оформлена відповідно до чинного законодавства, працівники повинні розуміти про втрату соціальних гарантій, таких як: втрату пенсії у майбутньому, відсутність допомоги по безробіттю, незахищеність в разі нещасних випадків на виробництві, відсутність щорічної відпустки з її оплатою, тощо. </w:t>
      </w:r>
    </w:p>
    <w:p w:rsidR="000E7AC4" w:rsidRPr="00CD0A53" w:rsidRDefault="000E7AC4" w:rsidP="000E7AC4">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Офіційне працевлаштування найманих працівників – обов’язок роботодавця.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поданого повідомлення про прийняття працівника на роботу.  </w:t>
      </w:r>
    </w:p>
    <w:p w:rsidR="000E7AC4" w:rsidRPr="00CD0A53" w:rsidRDefault="000E7AC4" w:rsidP="000E7AC4">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Закликаємо роботодавців дотримуватися вимог трудового законодавства та легалізувати трудові відносини зі своїми працівниками у найкоротший термін щоб уникнути фінансових санкцій. Вигідніше офіційно оформити працівника, аніж, у разі виявлення незадекларованої праці, заплатити значний штраф. </w:t>
      </w:r>
    </w:p>
    <w:p w:rsidR="000E7AC4" w:rsidRDefault="000E7AC4" w:rsidP="00C4772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2D1CD3" w:rsidRDefault="000E7AC4" w:rsidP="000E7AC4">
      <w:pPr>
        <w:spacing w:after="0" w:line="240" w:lineRule="auto"/>
        <w:outlineLvl w:val="0"/>
        <w:rPr>
          <w:rFonts w:ascii="Times New Roman" w:eastAsia="Times New Roman" w:hAnsi="Times New Roman"/>
          <w:b/>
          <w:bCs/>
          <w:kern w:val="36"/>
          <w:sz w:val="20"/>
          <w:szCs w:val="20"/>
          <w:lang w:eastAsia="ru-RU"/>
        </w:rPr>
      </w:pPr>
      <w:r w:rsidRPr="00EA2E97">
        <w:rPr>
          <w:rFonts w:ascii="Times New Roman" w:eastAsia="Times New Roman" w:hAnsi="Times New Roman"/>
          <w:b/>
          <w:bCs/>
          <w:kern w:val="36"/>
          <w:sz w:val="20"/>
          <w:szCs w:val="20"/>
          <w:lang w:eastAsia="ru-RU"/>
        </w:rPr>
        <w:t>Податкова знижка за витратами у вигляді пожертвувань або благодійних внесків, переданих</w:t>
      </w:r>
      <w:r w:rsidRPr="002D1CD3">
        <w:rPr>
          <w:rFonts w:ascii="Times New Roman" w:eastAsia="Times New Roman" w:hAnsi="Times New Roman"/>
          <w:b/>
          <w:bCs/>
          <w:kern w:val="36"/>
          <w:sz w:val="20"/>
          <w:szCs w:val="20"/>
          <w:lang w:eastAsia="ru-RU"/>
        </w:rPr>
        <w:t xml:space="preserve"> фізичною особою неприбутковим організаціям</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Головне управління ДПС у Дніпропетровській області повідомляє, що п.п. 166.3.2 п. 166.3 ст. 166 Податкового кодексу України (далі – ПКУ), зокрема, визначено, що платник податку на доходи фізичних осіб (далі – податок)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суму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розмірі, що не перевищує 4 відс. суми його загального оподатковуваного доходу такого звітного року.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підлягають зберіганню платником податку протягом строку давності, встановленого ПКУ.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У разі якщо відповідні витрати підтверджені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Для документального підтвердження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цього Кодексу та міститься в інформаційних базах центрального органу виконавчої влади, що реалізує державну податкову політику (п.п. 166.2.3 п. 166.2 ст. 166 ПКУ).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При цьому п. 729.1 ст. 729 Цивільного кодексу України від 16 січня 2003 року № 435-IV (далі – ЦКУ) передбачено, що пожертвою є дарування нерухомих та рухомих речей, зокрема, грошей та цінних паперів, особам, встановленим частиною першою ст. 720 ЦКУ, для досягнення ними певної, наперед обумовленої мети.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Договір про пожертву є укладеним з моменту прийняття пожертви (п. 729.2 ст. 729 ЦКУ).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lastRenderedPageBreak/>
        <w:t xml:space="preserve">До договору про пожертву застосовуються положення про договір дарування, якщо інше не встановлено законом (п. 729.3 ст. 729 ЦКУ).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Відповідно до п. 5 ст. 719 ЦКУ договір дарування валютних цінностей фізичних осіб між собою на суму, яка перевищує п’ятдесятикратний розмір неоподатковуваного мінімуму доходів громадян, укладається у письмовій формі і підлягає нотаріальному посвідченню.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Відповідно до п. 1 ст. 639 ЦКУ договір може бути укладений у будь-якій формі, якщо вимоги щодо форми договору не встановлені законом.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Договір є укладеним з моменту одержання особою, яка направила пропозицію укласти договір, відповіді про прийняття цієї пропозиції (п. 1 ст. 640 ЦКУ). </w:t>
      </w:r>
    </w:p>
    <w:p w:rsidR="000E7AC4" w:rsidRPr="002D1CD3" w:rsidRDefault="000E7AC4" w:rsidP="000E7AC4">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Таким чином, лише у разі декларування права на податкову знижку на суму коштів або вартість майна, перерахованих (переданих) платником податку у вигляді пожертвувань неприбутковим організаціям, одним із підтверджуючих документів, які необхідно надати платником податку контролюючому органу, є копія договору про пожертву. При здійсненні благодійних внесків неприбутковим організаціям такої вимоги законодавством не передбачено. </w:t>
      </w:r>
    </w:p>
    <w:p w:rsidR="000E7AC4" w:rsidRDefault="000E7AC4" w:rsidP="000E7AC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753567" w:rsidRDefault="000E7AC4" w:rsidP="000E7AC4">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Реформува</w:t>
      </w:r>
      <w:r w:rsidRPr="00753567">
        <w:rPr>
          <w:rFonts w:ascii="Times New Roman" w:eastAsia="Times New Roman" w:hAnsi="Times New Roman"/>
          <w:b/>
          <w:bCs/>
          <w:kern w:val="36"/>
          <w:sz w:val="20"/>
          <w:szCs w:val="20"/>
          <w:lang w:eastAsia="ru-RU"/>
        </w:rPr>
        <w:t>ння процесів податкового адміністрування</w:t>
      </w:r>
      <w:r>
        <w:rPr>
          <w:rFonts w:ascii="Times New Roman" w:eastAsia="Times New Roman" w:hAnsi="Times New Roman"/>
          <w:b/>
          <w:bCs/>
          <w:kern w:val="36"/>
          <w:sz w:val="20"/>
          <w:szCs w:val="20"/>
          <w:lang w:val="uk-UA" w:eastAsia="ru-RU"/>
        </w:rPr>
        <w:t xml:space="preserve"> - </w:t>
      </w:r>
      <w:r w:rsidRPr="00753567">
        <w:rPr>
          <w:rFonts w:ascii="Times New Roman" w:eastAsia="Times New Roman" w:hAnsi="Times New Roman"/>
          <w:b/>
          <w:bCs/>
          <w:kern w:val="36"/>
          <w:sz w:val="20"/>
          <w:szCs w:val="20"/>
          <w:lang w:eastAsia="ru-RU"/>
        </w:rPr>
        <w:t xml:space="preserve">Національна стратегія доходів до 2030 року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після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підлягають оподаткуванню;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-підвищити ефективність застосування нових правил про оподаткування контрольованих іноземних компаній;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-отримати додаткове джерело податкової інформації під час впровадження непрямих методів контролю за оподаткуванням фізичних осіб.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Завдяки впорядкуванню процесів і підвищенню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0E7AC4" w:rsidRDefault="000E7AC4" w:rsidP="000E7AC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1A2838" w:rsidRDefault="000E7AC4" w:rsidP="000E7AC4">
      <w:pPr>
        <w:spacing w:after="0" w:line="240" w:lineRule="auto"/>
        <w:outlineLvl w:val="0"/>
        <w:rPr>
          <w:rFonts w:ascii="Times New Roman" w:eastAsia="Times New Roman" w:hAnsi="Times New Roman"/>
          <w:b/>
          <w:bCs/>
          <w:kern w:val="36"/>
          <w:sz w:val="20"/>
          <w:szCs w:val="20"/>
          <w:lang w:eastAsia="ru-RU"/>
        </w:rPr>
      </w:pPr>
      <w:r w:rsidRPr="001A2838">
        <w:rPr>
          <w:rFonts w:ascii="Times New Roman" w:eastAsia="Times New Roman" w:hAnsi="Times New Roman"/>
          <w:b/>
          <w:bCs/>
          <w:kern w:val="36"/>
          <w:sz w:val="20"/>
          <w:szCs w:val="20"/>
          <w:lang w:eastAsia="ru-RU"/>
        </w:rPr>
        <w:t xml:space="preserve">Заповнюємо правильно поля у реквізитах «Призначення платежу» та «Отримувач» платіжної інструкції на сплату податків та зборів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Головне управління ДПС у Дніпропетровській області нагадує, що порядок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затверджений наказом Міністерства фінансів України від 22.03.2023 № 148 зі змінами та доповненнями (далі – Порядок).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Пунктом 2 розд. ІІ Порядку, зокрема, визначено, що під час сплати податків, зборів на бюджетні рахунки платник у реквізиті «Призначення платежу» платіжної інструкції заповнює такі поля: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«Код виду сплати»;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«Додаткова інформація запису».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Порядку;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 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підставі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Сплата, зокрема, податків, зборів на бюджетні рахунки оформлюються за кожним напрямом перерахування та кожним кодом виду сплати окремою платіжною інструкцією (п. 3 розд. ІІ Порядку).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У разі коли платником при сплаті, зокрема, податків, зборів на бюджетні рахунки у реквізиті «Призначення платежу» платіжної інструкції не зазначено або зазначено код виду сплати, який відсутній у додатку 1 до Порядку, вважається, що платник сплатив грошове зобов’язання за кодом виду сплати 101 (п. 4 розд. ІІ Порядку).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lastRenderedPageBreak/>
        <w:t xml:space="preserve">У разі сплати, зокрема, податку, збору готівкою платник у реквізиті «Призначення платежу» платіжної інструкції, оформленої у паперовій формі, заповнює відповідну інформацію, яку надавач платіжних послуг використовує в повному обсязі при виконанні платіжної операції на переказ коштів готівкою (п. 8 розд. ІІ Порядку).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Пунктом 9 розд. ІІ Порядку визначено, що сплата, зокрема, податку, збору здійснюється платником безпосередньо, а у випадках, передбачених законодавством, – податковим агентом або представником платника.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Відповідно до п. 11 додатка «Указівки щодо заповнення реквізитів платіжної інструкції, оформленої в паперовій або електронній формі» до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 липня 2022 року № 163 (далі – Інструкція № 163), у реквізиті «Отримувач»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території та код бюджетної класифікації. </w:t>
      </w:r>
    </w:p>
    <w:p w:rsidR="000E7AC4" w:rsidRPr="001A2838" w:rsidRDefault="000E7AC4" w:rsidP="000E7AC4">
      <w:pPr>
        <w:spacing w:after="0" w:line="240" w:lineRule="auto"/>
        <w:jc w:val="both"/>
        <w:rPr>
          <w:rFonts w:ascii="Times New Roman" w:eastAsia="Times New Roman" w:hAnsi="Times New Roman"/>
          <w:sz w:val="20"/>
          <w:szCs w:val="20"/>
          <w:lang w:eastAsia="ru-RU"/>
        </w:rPr>
      </w:pPr>
      <w:r w:rsidRPr="001A2838">
        <w:rPr>
          <w:rFonts w:ascii="Times New Roman" w:eastAsia="Times New Roman" w:hAnsi="Times New Roman"/>
          <w:sz w:val="20"/>
          <w:szCs w:val="20"/>
          <w:lang w:eastAsia="ru-RU"/>
        </w:rPr>
        <w:t xml:space="preserve">При цьому платіжна інструкція – це розпорядження ініціатора надавачу платіжних послуг щодо виконання платіжної операції (п.п. 15 п. 6 розд. І Інструкції № 163). </w:t>
      </w:r>
    </w:p>
    <w:p w:rsidR="000E7AC4" w:rsidRDefault="000E7AC4" w:rsidP="000E7AC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753567" w:rsidRDefault="000E7AC4" w:rsidP="000E7AC4">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забезпечення належного наповнення бюджетів</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Головне управління ДПС у Дніпропетровській області нагадує,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під час ведення господарської й підприємницької діяльності, заповнення податкової звітності, сплати податків у майбутньому тощо;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мінімізувати ризики недотримання платниками вимог податкового та іншого законодавства, контроль за дотриманням якого покладено на ДПС;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рівнів;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відповідно до ідентифікованих податкових ризиків. </w:t>
      </w:r>
    </w:p>
    <w:p w:rsidR="000E7AC4" w:rsidRPr="00753567" w:rsidRDefault="000E7AC4" w:rsidP="000E7AC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доходів до 2030 року. Він буде реалізовуватись відповідно до постанови Кабінету Міністрів України від 25 липня 2024 року № 854 протягом двох років. </w:t>
      </w:r>
    </w:p>
    <w:p w:rsidR="000E7AC4" w:rsidRDefault="000E7AC4" w:rsidP="000E7AC4">
      <w:pPr>
        <w:spacing w:after="0" w:line="240" w:lineRule="auto"/>
        <w:outlineLvl w:val="0"/>
        <w:rPr>
          <w:rFonts w:ascii="Times New Roman" w:eastAsia="Times New Roman" w:hAnsi="Times New Roman"/>
          <w:b/>
          <w:bCs/>
          <w:kern w:val="36"/>
          <w:sz w:val="20"/>
          <w:szCs w:val="20"/>
          <w:lang w:val="uk-UA" w:eastAsia="ru-RU"/>
        </w:rPr>
      </w:pPr>
    </w:p>
    <w:p w:rsidR="000E7AC4" w:rsidRPr="004A19A7" w:rsidRDefault="000E7AC4" w:rsidP="000E7AC4">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 xml:space="preserve">Увага податкової </w:t>
      </w:r>
      <w:r w:rsidR="00A96BA6">
        <w:rPr>
          <w:rFonts w:ascii="Times New Roman" w:eastAsia="Times New Roman" w:hAnsi="Times New Roman"/>
          <w:b/>
          <w:bCs/>
          <w:kern w:val="36"/>
          <w:sz w:val="20"/>
          <w:szCs w:val="20"/>
          <w:lang w:val="uk-UA" w:eastAsia="ru-RU"/>
        </w:rPr>
        <w:t xml:space="preserve">служби </w:t>
      </w:r>
      <w:r>
        <w:rPr>
          <w:rFonts w:ascii="Times New Roman" w:eastAsia="Times New Roman" w:hAnsi="Times New Roman"/>
          <w:b/>
          <w:bCs/>
          <w:kern w:val="36"/>
          <w:sz w:val="20"/>
          <w:szCs w:val="20"/>
          <w:lang w:val="uk-UA" w:eastAsia="ru-RU"/>
        </w:rPr>
        <w:t>зосереджена на офіційному оформленні т</w:t>
      </w:r>
      <w:r>
        <w:rPr>
          <w:rFonts w:ascii="Times New Roman" w:eastAsia="Times New Roman" w:hAnsi="Times New Roman"/>
          <w:b/>
          <w:bCs/>
          <w:kern w:val="36"/>
          <w:sz w:val="20"/>
          <w:szCs w:val="20"/>
          <w:lang w:eastAsia="ru-RU"/>
        </w:rPr>
        <w:t>рудов</w:t>
      </w:r>
      <w:r>
        <w:rPr>
          <w:rFonts w:ascii="Times New Roman" w:eastAsia="Times New Roman" w:hAnsi="Times New Roman"/>
          <w:b/>
          <w:bCs/>
          <w:kern w:val="36"/>
          <w:sz w:val="20"/>
          <w:szCs w:val="20"/>
          <w:lang w:val="uk-UA" w:eastAsia="ru-RU"/>
        </w:rPr>
        <w:t>их</w:t>
      </w:r>
      <w:r w:rsidRPr="004A19A7">
        <w:rPr>
          <w:rFonts w:ascii="Times New Roman" w:eastAsia="Times New Roman" w:hAnsi="Times New Roman"/>
          <w:b/>
          <w:bCs/>
          <w:kern w:val="36"/>
          <w:sz w:val="20"/>
          <w:szCs w:val="20"/>
          <w:lang w:eastAsia="ru-RU"/>
        </w:rPr>
        <w:t xml:space="preserve"> відносин </w:t>
      </w:r>
    </w:p>
    <w:p w:rsidR="000E7AC4" w:rsidRPr="004A19A7" w:rsidRDefault="000E7AC4" w:rsidP="000E7AC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соціальних гарантій громадян та надходжень до бюджету. </w:t>
      </w:r>
    </w:p>
    <w:p w:rsidR="000E7AC4" w:rsidRPr="004A19A7" w:rsidRDefault="000E7AC4" w:rsidP="000E7AC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w:t>
      </w:r>
    </w:p>
    <w:p w:rsidR="000E7AC4" w:rsidRPr="004A19A7" w:rsidRDefault="000E7AC4" w:rsidP="000E7AC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трудового договору, оформлення трудових відносин з працівниками (найманими особами). </w:t>
      </w:r>
    </w:p>
    <w:p w:rsidR="000E7AC4" w:rsidRPr="004A19A7" w:rsidRDefault="000E7AC4" w:rsidP="000E7AC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підстав, передбачених п. 80.2 ст. 80 Податкового кодексу України та без попередження платника податків (особи). </w:t>
      </w:r>
    </w:p>
    <w:p w:rsidR="000E7AC4" w:rsidRDefault="000E7AC4" w:rsidP="000E7AC4">
      <w:pPr>
        <w:spacing w:after="0" w:line="240" w:lineRule="auto"/>
        <w:outlineLvl w:val="0"/>
        <w:rPr>
          <w:rFonts w:ascii="Times New Roman" w:eastAsia="Times New Roman" w:hAnsi="Times New Roman" w:cs="Times New Roman"/>
          <w:b/>
          <w:bCs/>
          <w:kern w:val="36"/>
          <w:sz w:val="20"/>
          <w:szCs w:val="20"/>
          <w:lang w:val="uk-UA" w:eastAsia="ru-RU"/>
        </w:rPr>
      </w:pPr>
    </w:p>
    <w:p w:rsidR="000E7AC4" w:rsidRPr="00C8565B" w:rsidRDefault="000E7AC4" w:rsidP="000E7AC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Договір купівлі-продажу нерухомого майна укладено між фізичними особами – резидентами: чи є об’єкт оподаткування ПДФО та військовим збором у разі розірвання такого договору?</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відповідно до ст. 655 Цивільного кодексу України (далі – ЦКУ) за договором купівлі- продажу одна сторона (продавець) передає або зобов’язується передати майно (товар) у власність другій стороні (покупцеві), а покупець приймає або зобов’язується прийняти майно (товар) і сплатити за нього певну грошову суму.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Право власності та інші речові права на нерухомі речі, обтяження цих прав, їх виникнення, перехід і припинення підлягають державній реєстрації (ст. 182 ЦКУ).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lastRenderedPageBreak/>
        <w:t xml:space="preserve">Пунктом 2 ст. 2 Закону України від 01 липня 2004 року № 1952-ІV «Про державну реєстрацію речових прав на нерухоме майно та їх обтяжень» (із змінами) (далі – Закон № 1952) визначено, що державна реєстрація речових прав на нерухоме майно та їх обтяжень (далі – державна реєстрація прав) – це офіційне визнання і підтвердження державою фактів набуття, зміни або припинення речових прав на нерухоме майно, обтяжень таких прав шляхом внесення відповідних записів до Державного реєстру речових прав на нерухоме майно.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Згідно з ст. 3 Закону № 1952 державна реєстрація прав, у тому числі на нерухоме майно, яке відповідно до Закону № 1952 є обов’язковою, виникають з моменту такої реєстрації.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Разом з цим ст. 651 ЦКУ визначено підстави для зміни або розірвання договору. Зокрема, розірвання договору допускається лише за згодою сторін, якщо інше не встановлено договором або законом.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Порядок оподаткування доходів фізичних осіб регламентується розд. IV Податкового кодексу України (далі – ПКУ), відповідно до п.п. 163.1.1 п. 163.1 ст. 163 якого об’єктом оподаткування резидента є загальний місячний (річний) оподатковуваний дохід.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 загального місячного (річного) оподатковуваного доходу платника податку включається, зокрема, частина доходів від операцій з майном, розмір якої визначається згідно з положеннями ст. 172 ПКУ (п.п. 164.2.4 п. 164.2 ст. 164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Оподаткування операцій з продажу (обміну) об’єктів нерухомого майна регламентується ст. 172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п. 172.8 ст. 172 ПКУ для цілей ст. 172 ПКУ під продажем розуміється будь-який перехід права власності або будь-яких інших аналогічних прав на об’єкти нерухомості, неподільний об’єкт незавершеного будівництва / майбутній об’єкт нерухомості, подільний об’єкт незавершеного будівництва, крім їх успадкування та дарування.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Тобто, розірвання фізичними особами – резидентами договору купівлі – продажу об’єкта нерухомості (земельної ділянки), за наслідками якого відбувається перехід права власності, є продажем такого об’єкта.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п. 172.1 ст. 172 ПКУ не оподатковується один раз протягом звітного податкового року, за умови перебування такого майна у власності платника податку більше трьох років, дохід, отриманий платником податку від продажу (обміну):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на якій розташовані такі об’єкти, а також господарсько-побутові споруди та будівлі, розташовані на такій земельній ділянці);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земельної ділянки, що не перевищує норми безоплатної передачі, визначені ст. 121 Земельного кодексу України від 25 жовтня 2001 року № 2768-III залежно від її призначення;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сільськогосподарських підприємств,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платником податку у спадщину.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Умова щодо перебування такого майна у власності платника податку більше трьох років не поширюється на майно, отримане платником податку у спадщину.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Дохід від відчуження господарсько-побутових споруд, що розташовані на одній ділянці з житловим або садовим (дачним) будинком та продаються разом з ним для цілей оподаткування, окремо не визначається.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Разом з тим, згідно з п. 172.2 ст. 172 ПКУ дохід, отриманий платником податку від продажу протягом звітного (податкового) року другого об’єкта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 або від продажу об’єкта нерухомості, не зазначеного у п. 172.1 ст. 172 ПКУ, підлягає оподаткуванню за ставкою 5 відс., визначеною п. 167.2 ст. 167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 або від продажу другого та наступних об’єктів нерухомості, не зазначених у п. 172.1 ст. 172 ПКУ, підлягає оподаткуванню за ставкою 18 відс., визначеною п. 167.1 ст. 167 ПКУ, крім випадків, якщо зазначене у цьому абзаці майно отримано платником податку у спадщину.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Дохід, отриманий платником податків від продажу протягом звітного (податкового) року неподільного об’єкта незавершеного будівництва / 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 / майбутнього об’єкта нерухомості, щодо якого сплачено частково ціну та зареєстровано обтяження речових прав на користь покупця, підлягає оподаткуванню за ставкою 18 відс., визначеною п. 167.1 ст. 167 ПКУ, крім випадків, якщо зазначене у цьому абзаці майно, майнові права отримано платником податку у спадщину.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від продажу протягом звітного (податкового) року неподільного об’єкта незавершеного будівництва / майбутнього об’єкта нерухомості, подільного об’єкта незавершеного будівництва та/або від відступлення прав за договором купівлі-продажу неподільного об’єкта незавершеного будівництва / майбутнього об’єкта нерухомості, щодо якого сплачено частково ціну та зареєстровано обтяження речових прав на користь </w:t>
      </w:r>
      <w:r w:rsidRPr="00C8565B">
        <w:rPr>
          <w:rFonts w:ascii="Times New Roman" w:eastAsia="Times New Roman" w:hAnsi="Times New Roman" w:cs="Times New Roman"/>
          <w:sz w:val="20"/>
          <w:szCs w:val="20"/>
          <w:lang w:eastAsia="ru-RU"/>
        </w:rPr>
        <w:lastRenderedPageBreak/>
        <w:t xml:space="preserve">покупця, за умови що таке майно, майнові права отримано платником податку у спадщину, підлягає оподаткуванню за ставкою 5 відс., визначеною 167.2 ст. 167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Також вказаний дохід є об’єктом оподаткування військовим збором (п.п. 1.2 п. 16 прим. 1 підрозд. 10 розд. XX «Перехідні положення»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Ставка військового збору становить 5 відс. об’єкта оподаткування, визначеного п.п. 1.2 п. 16 прим. 1 підрозд. 10 розд. XX «Перехідні положення» ПКУ (п.п. 1.3 п. 16 прим. 1 підрозд. 10 розд. XX «Перехідні положення» ПКУ). </w:t>
      </w:r>
    </w:p>
    <w:p w:rsidR="000E7AC4" w:rsidRPr="00C8565B" w:rsidRDefault="000E7AC4" w:rsidP="000E7AC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Враховуючи викладене, при розірванні договору купівлі-продажу нерухомого майна, укладеного між фізичними особами – резидентами, за наслідками якого відбувався перехід права власності, дохід, отриманий від такого продажу, оподатковується податком на доходи фізичних осіб і військовим збором на загальних підставах, визначених ст. 172 ПКУ. </w:t>
      </w:r>
    </w:p>
    <w:p w:rsidR="000E7AC4" w:rsidRPr="000E7AC4" w:rsidRDefault="000E7AC4"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Національна стратегія доходів: вивчення оцінки якості надання послуг та виявлення проблемних питань</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контролюючі органи зобов’язані надавати платникам податків інформацію про порядок виконання ними податкових зобов’язань та забезпечувати умови для підвищення рівня добровільної сплати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Створення сприятливих умов для виконання платниками податкового законодавства неможливо без постійного вивчення якості сервісу та зворотного зв’язку з бізнесом.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рамках Національної стратегії доходів до 2030 року ДПС України здійснює моніторинг якості обслуговування платників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 спеціальних заходів, які проводяться згідно з інформаційною кампанією з управління реформами відносяться: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оцінка якості надання послуг, шляхом опитування платників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виявлення проблемних питань, що виникають у процесі адміністрування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оприлюднення результатів опитування та публічного звітування про вжиті заходи для підвищення ефективності обслуговування.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 метою підвищення рівня довіри суспільства до контролюючих органів вдосконалення процесів дослідження громадської думки щодо оцінки сервісів допомагає підвищити прозорість роботи ДПС та сприяє удосконаленню процедур адміністрування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При цьому, платники податків мають реальний вплив на процес вдосконалення сервісного обслуговування, і запровадження систематичного вивчення якості надання послуг платникам спрямоване на підвищення відкритості податкової служби та розвитку партнерських відносин із бізнесом.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Акцентуємо увагу, що вирішення проблемних питань, що впливають на рівень довіри до податкових органів, та побудови партнерських відносин платників податків і держави сприяє: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підвищенню рівня доброчесності працівників ДПС та довіри платників податків до діяльності ДПС;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підвищенню загального рівня податкової культури платників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підвищенню рівня сервісу консультування платників податків податковим органом, в тому числі за категоріями уваги;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збільшенню рівня податкових надходжень, в тому числі за рахунок добровільної сплати;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удосконаленню та розширенню податкових сервісів та послуг, що надаються податковим органом. </w:t>
      </w:r>
    </w:p>
    <w:p w:rsid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Як юридичній особі виправити самостійно виявлену помилку в заяві за ф. № 1-ОПП?</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п. 66.4 ст. 66 Податкового кодексу України (далі – ПКУ) платники податків – юридичні особи та їх відокремлені підрозділи зобов’язані подати контролюючому органу відомості стосовно осіб, відповідальних за ведення бухгалтерського та/або податкового обліку у 10-денний строк з дня взяття на облік чи виникнення змін у облікових даних платників податків, шляхом подання заяви (для юридичних осіб та відокремлених підрозділів) за формою № 1-ОПП (далі – заява за ф. № 1-ОПП) з позначкою «Відомості про особу, відповідальну за ведення бухгалтерського та/або податкового обліку».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Взяття на облік за основним місцем обліку (внесення змін до облікових даних) платників податків – юридичних осіб та відокремлених підрозділів юридичних осіб, для яких законом установлені особливості їх державної реєстрації та які не включаються до Єдиного державного реєстру юридичних осіб, фізичних осіб – підприємців та громадських формувань (далі – ЄДР), здійснюється на підставі заяви за ф. № 1-ОПП (п. 64.2 ст. 64, п.п. 66.1.3 п. 66.1 ст. 66 ПКУ).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Юридичні особи та їх відокремлені підрозділи, відомості щодо яких містяться в ЄДР подають заяву за ф. № 1-ОПП до контролюючого органу за основним місцем обліку тільки в разі призначення або зміни головного бухгалтера (з позначкою «Відомості про особу, відповідальну за ведення бухгалтерського та/або податкового обліку»).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Юридичні особи та їх відокремлені підрозділи, для яких законом установлені особливості їх державної реєстрації та які не включаються до ЄДР, подають заяву за ф. № 1-ОПП при взятті на облік в контролюючому органу, зміні облікових даних платника та у разі призначення (зміни) головного бухгалтера.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lastRenderedPageBreak/>
        <w:t xml:space="preserve">У разі виявлення помилки у попередньо поданій заяві за ф. № 1-ОПП щодо відомостей про особу, відповідальну за ведення бухгалтерського обліку, платник податків повинен подати заяву за ф. № 1-ОПП з оновленою (виправленою) інформацією щодо такої особи та проставити позначку «Відомості про особу, відповідальну за ведення бухгалтерського та/або податкового обліку».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При цьому, заповнюються розділи 1, 2, 4 та 10 заяви за ф. № 1-ОПП та інформація про засновників не подається (примітка до заяви за ф. № 1-ОПП).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При виявленні помилки (крім помилки щодо відомостей про особу, відповідальну за ведення бухгалтерського обліку) у попередньо поданій заяві за ф. № 1-ОПП платником податків, для якого законом установлені особливості його державної реєстрації та які не включаються до ЄДР, необхідно подати до контролюючого органу за основним місцем обліку оновлену (виправлену) заяву за ф. № 1-ОПП з позначкою «Зміни» та уточнені документи в такому самому порядку, як і при взятті на облік. При цьому, платником податків заповнюються всі розділи заяви за ф. № 1-ОПП.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Заява за ф. № 1-ОПП може бути подана як в паперовій так і в електронній формі.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Подання документів засобами електронного зв’язку в електронній формі здійснюється відповідно ПКУ та Порядку обміну електронними документами з контролюючими органами, затвердженого наказом Міністерства фінансів України від 06.06.2017 № 557 із змінами та доповненнями. </w:t>
      </w:r>
    </w:p>
    <w:p w:rsidR="00C47724" w:rsidRDefault="00C47724" w:rsidP="00C47724">
      <w:pPr>
        <w:spacing w:after="0" w:line="240" w:lineRule="auto"/>
        <w:jc w:val="both"/>
        <w:rPr>
          <w:rFonts w:ascii="Times New Roman" w:eastAsia="Times New Roman" w:hAnsi="Times New Roman" w:cs="Times New Roman"/>
          <w:b/>
          <w:bCs/>
          <w:sz w:val="20"/>
          <w:szCs w:val="20"/>
          <w:lang w:val="uk-UA" w:eastAsia="ru-RU"/>
        </w:rPr>
      </w:pP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b/>
          <w:bCs/>
          <w:sz w:val="20"/>
          <w:szCs w:val="20"/>
          <w:lang w:eastAsia="ru-RU"/>
        </w:rPr>
        <w:t>МПЗ: порядок та деякі особливості визначення для платників податків – фізичних осіб</w:t>
      </w:r>
      <w:r w:rsidRPr="00C8565B">
        <w:rPr>
          <w:rFonts w:ascii="Times New Roman" w:eastAsia="Times New Roman" w:hAnsi="Times New Roman" w:cs="Times New Roman"/>
          <w:sz w:val="20"/>
          <w:szCs w:val="20"/>
          <w:lang w:eastAsia="ru-RU"/>
        </w:rPr>
        <w:t xml:space="preserve">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Визначення загального МПЗ фізичним особам, які не зареєстровані як фізичні особи – підприємці, здійснюється контролюючим органом за податковою адресою таких осіб до 1 липня року наступного за звітним.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(далі – податок) та військовий збір з доходів від продажу власної сільськогосподарської продукції; земельний податок за земельні ділянки, віднесені до сільськогосподарських угідь (п.п. 170.14.5 п. 170.14 ст. 170 ПКУ).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Для фізичних осіб, які відповідно до норм Цивільного кодексу України, Земельного кодексу України та Закону України «Про оренду землі»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 У такому випадку МПЗ за такі землі сплачує орендар.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Розрахункова сума МПЗ визначається за формулами, встановленими ст.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 xml:space="preserve"> ПКУ, в залежності від наявної нормативно грошової оцінки відповідної земельної ділянки або нормативно грошової оцінки 1 гектара ріллі по області з урахуванням коефіцієнта індексації, визначеного відповідно до порядку, встановленого ПКУ для справляння плати за землю, коефіцієнту та кількості календарних місяців, протягом яких земельна ділянка перебуває у власності, оренді, користуванні на інших умовах (в тому числі на умовах емфітевзису) платника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Тимчасово для розрахунку МПЗ за 2022 та 2023 податкові (звітні) роки коефіцієнт застосовується із зазначенням 0,04; за 2024 рік – коефіцієнт застосовується із зазначенням 0,05.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МПЗ щодо земельної ділянки, </w:t>
      </w:r>
      <w:r w:rsidRPr="00C8565B">
        <w:rPr>
          <w:rFonts w:ascii="Times New Roman" w:eastAsia="Times New Roman" w:hAnsi="Times New Roman" w:cs="Times New Roman"/>
          <w:i/>
          <w:iCs/>
          <w:sz w:val="20"/>
          <w:szCs w:val="20"/>
          <w:lang w:eastAsia="ru-RU"/>
        </w:rPr>
        <w:t>нормативна грошова оцінка якої не проведена</w:t>
      </w:r>
      <w:r w:rsidRPr="00C8565B">
        <w:rPr>
          <w:rFonts w:ascii="Times New Roman" w:eastAsia="Times New Roman" w:hAnsi="Times New Roman" w:cs="Times New Roman"/>
          <w:sz w:val="20"/>
          <w:szCs w:val="20"/>
          <w:lang w:eastAsia="ru-RU"/>
        </w:rPr>
        <w:t xml:space="preserve">, обчислюється за формулою: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i/>
          <w:iCs/>
          <w:sz w:val="20"/>
          <w:szCs w:val="20"/>
          <w:lang w:eastAsia="ru-RU"/>
        </w:rPr>
        <w:t>МПЗ = НГО х S х К х М / 12</w:t>
      </w:r>
      <w:r w:rsidRPr="00C8565B">
        <w:rPr>
          <w:rFonts w:ascii="Times New Roman" w:eastAsia="Times New Roman" w:hAnsi="Times New Roman" w:cs="Times New Roman"/>
          <w:sz w:val="20"/>
          <w:szCs w:val="20"/>
          <w:lang w:eastAsia="ru-RU"/>
        </w:rPr>
        <w:t xml:space="preserve">,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де: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МПЗ – мінімальне податкове зобов’язання;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НГО – нормативна грошова оцінка 1 гектара ріллі по Автономній Республіці Крим або по області з урахуванням коефіцієнта індексації, визначеного відповідно до порядку, встановленого ПКУ для справляння плати за землю;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S – площа земельної ділянки, в гектарах;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К – коефіцієнт, що становить 0,05;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М – кількість календарних місяців, протягом яких земельна ділянка перебуває у власності, оренді, користуванні на інших умовах (в тому числі на умовах емфітевзису) платника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При цьому, </w:t>
      </w:r>
      <w:r w:rsidRPr="00C8565B">
        <w:rPr>
          <w:rFonts w:ascii="Times New Roman" w:eastAsia="Times New Roman" w:hAnsi="Times New Roman" w:cs="Times New Roman"/>
          <w:i/>
          <w:iCs/>
          <w:sz w:val="20"/>
          <w:szCs w:val="20"/>
          <w:lang w:eastAsia="ru-RU"/>
        </w:rPr>
        <w:t>Законом України № 4015*</w:t>
      </w:r>
      <w:r w:rsidRPr="00C8565B">
        <w:rPr>
          <w:rFonts w:ascii="Times New Roman" w:eastAsia="Times New Roman" w:hAnsi="Times New Roman" w:cs="Times New Roman"/>
          <w:sz w:val="20"/>
          <w:szCs w:val="20"/>
          <w:lang w:eastAsia="ru-RU"/>
        </w:rPr>
        <w:t>, який набрав чинності 01.12.2024, підрозділ 10 розділу ХХ «Перехідні положення» ПКУ доповнено п. 74. Цим пунктом установлено, що при визначенні МПЗ у період з 01 січня 2024 року по 31 грудня року, у якому буде припинено або скасовано воєнний стан, сума МПЗ, визначена відповідно до підпунктів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.1.1 і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.1.2 пункту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.1 ст.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 xml:space="preserve"> ПКУ, не може становити менше 700 грн з 1 гектара, а для земельних ділянок, у площі яких частка ріллі становить не менше 50 відс., – 1400 грн з 1 гектара.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Дія п. 74 підрозділу 10 розділу ХХ ПКУ не поширюється на земельні ділянки, земельні частки (паї), що розташовані на територіях можливих бойових дій, які включені до Переліку територій, на яких ведуться (велися) бойові дії або тимчасово окупованих російською федерацією. МПЗ визначається за період володіння (користування) земельною ділянкою, який припадає на відповідний податковий (звітний) рік (п.п.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.1.4 п.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.1 ст. 38</w:t>
      </w:r>
      <w:r w:rsidRPr="00C8565B">
        <w:rPr>
          <w:rFonts w:ascii="Times New Roman" w:eastAsia="Times New Roman" w:hAnsi="Times New Roman" w:cs="Times New Roman"/>
          <w:sz w:val="20"/>
          <w:szCs w:val="20"/>
          <w:vertAlign w:val="superscript"/>
          <w:lang w:eastAsia="ru-RU"/>
        </w:rPr>
        <w:t>1</w:t>
      </w:r>
      <w:r w:rsidRPr="00C8565B">
        <w:rPr>
          <w:rFonts w:ascii="Times New Roman" w:eastAsia="Times New Roman" w:hAnsi="Times New Roman" w:cs="Times New Roman"/>
          <w:sz w:val="20"/>
          <w:szCs w:val="20"/>
          <w:lang w:eastAsia="ru-RU"/>
        </w:rPr>
        <w:t xml:space="preserve"> ПКУ).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разі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 та за умови державної реєстрації </w:t>
      </w:r>
      <w:r w:rsidRPr="00C8565B">
        <w:rPr>
          <w:rFonts w:ascii="Times New Roman" w:eastAsia="Times New Roman" w:hAnsi="Times New Roman" w:cs="Times New Roman"/>
          <w:sz w:val="20"/>
          <w:szCs w:val="20"/>
          <w:lang w:eastAsia="ru-RU"/>
        </w:rPr>
        <w:lastRenderedPageBreak/>
        <w:t xml:space="preserve">такого права відповідно до законодавства, </w:t>
      </w:r>
      <w:r w:rsidRPr="00C8565B">
        <w:rPr>
          <w:rFonts w:ascii="Times New Roman" w:eastAsia="Times New Roman" w:hAnsi="Times New Roman" w:cs="Times New Roman"/>
          <w:i/>
          <w:iCs/>
          <w:sz w:val="20"/>
          <w:szCs w:val="20"/>
          <w:lang w:eastAsia="ru-RU"/>
        </w:rPr>
        <w:t>МПЗ</w:t>
      </w:r>
      <w:r w:rsidRPr="00C8565B">
        <w:rPr>
          <w:rFonts w:ascii="Times New Roman" w:eastAsia="Times New Roman" w:hAnsi="Times New Roman" w:cs="Times New Roman"/>
          <w:sz w:val="20"/>
          <w:szCs w:val="20"/>
          <w:lang w:eastAsia="ru-RU"/>
        </w:rPr>
        <w:t xml:space="preserve"> щодо такої земельної ділянки </w:t>
      </w:r>
      <w:r w:rsidRPr="00C8565B">
        <w:rPr>
          <w:rFonts w:ascii="Times New Roman" w:eastAsia="Times New Roman" w:hAnsi="Times New Roman" w:cs="Times New Roman"/>
          <w:i/>
          <w:iCs/>
          <w:sz w:val="20"/>
          <w:szCs w:val="20"/>
          <w:lang w:eastAsia="ru-RU"/>
        </w:rPr>
        <w:t>визначається для попереднього</w:t>
      </w:r>
      <w:r w:rsidRPr="00C8565B">
        <w:rPr>
          <w:rFonts w:ascii="Times New Roman" w:eastAsia="Times New Roman" w:hAnsi="Times New Roman" w:cs="Times New Roman"/>
          <w:sz w:val="20"/>
          <w:szCs w:val="20"/>
          <w:lang w:eastAsia="ru-RU"/>
        </w:rPr>
        <w:t xml:space="preserve"> власника, орендаря, користувача на інших умовах (в тому числі на умовах емфітевзису) за період з 01 січня 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емфітевзис), </w:t>
      </w:r>
      <w:r w:rsidRPr="00C8565B">
        <w:rPr>
          <w:rFonts w:ascii="Times New Roman" w:eastAsia="Times New Roman" w:hAnsi="Times New Roman" w:cs="Times New Roman"/>
          <w:i/>
          <w:iCs/>
          <w:sz w:val="20"/>
          <w:szCs w:val="20"/>
          <w:lang w:eastAsia="ru-RU"/>
        </w:rPr>
        <w:t>а для нового</w:t>
      </w:r>
      <w:r w:rsidRPr="00C8565B">
        <w:rPr>
          <w:rFonts w:ascii="Times New Roman" w:eastAsia="Times New Roman" w:hAnsi="Times New Roman" w:cs="Times New Roman"/>
          <w:sz w:val="20"/>
          <w:szCs w:val="20"/>
          <w:lang w:eastAsia="ru-RU"/>
        </w:rPr>
        <w:t xml:space="preserve"> власника, орендаря або користувача на інших умовах (в тому числі на умовах емфітевзису) – починаючи з місяця, в якому він набув право власності або право користування, у тому числі оренди, емфітевзису, суборенди на таку земельну ділянку.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(статті 125 – 126 Земельного кодексу України). Право власності, користування земельною ділянкою оформлюється відповідно </w:t>
      </w:r>
      <w:r w:rsidRPr="00C8565B">
        <w:rPr>
          <w:rFonts w:ascii="Times New Roman" w:eastAsia="Times New Roman" w:hAnsi="Times New Roman" w:cs="Times New Roman"/>
          <w:i/>
          <w:iCs/>
          <w:sz w:val="20"/>
          <w:szCs w:val="20"/>
          <w:lang w:eastAsia="ru-RU"/>
        </w:rPr>
        <w:t>до Закону України № 1952**</w:t>
      </w:r>
      <w:r w:rsidRPr="00C8565B">
        <w:rPr>
          <w:rFonts w:ascii="Times New Roman" w:eastAsia="Times New Roman" w:hAnsi="Times New Roman" w:cs="Times New Roman"/>
          <w:sz w:val="20"/>
          <w:szCs w:val="20"/>
          <w:lang w:eastAsia="ru-RU"/>
        </w:rPr>
        <w:t xml:space="preserve">.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 МПЗ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підставах за податковий (звітний) рік.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Отже, у разі якщо набуття права власності або право користування на земельну ділянку, віднесену до сільськогосподарських угідь, здійснювалось за умови державної реєстрації таких прав, то для розрахунку МПЗ щодо земельної ділянки, нормативна грошова оцінка якої проведена/не проведена, враховується період, починаючи з місяця, в якому платник набув право власності, оренди, користування на інших умовах (в т. ч. на умовах емфітевзису) на земельну ділянку (далі – право власності). При цьому, незалежно від того, що набуття права власності відбулося в середині (наприкінці) місяця.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i/>
          <w:iCs/>
          <w:sz w:val="20"/>
          <w:szCs w:val="20"/>
          <w:lang w:eastAsia="ru-RU"/>
        </w:rPr>
        <w:t> </w:t>
      </w:r>
      <w:r w:rsidRPr="00C8565B">
        <w:rPr>
          <w:rFonts w:ascii="Times New Roman" w:eastAsia="Times New Roman" w:hAnsi="Times New Roman" w:cs="Times New Roman"/>
          <w:b/>
          <w:bCs/>
          <w:i/>
          <w:iCs/>
          <w:sz w:val="20"/>
          <w:szCs w:val="20"/>
          <w:lang w:eastAsia="ru-RU"/>
        </w:rPr>
        <w:t>Довідково</w:t>
      </w:r>
      <w:r w:rsidRPr="00C8565B">
        <w:rPr>
          <w:rFonts w:ascii="Times New Roman" w:eastAsia="Times New Roman" w:hAnsi="Times New Roman" w:cs="Times New Roman"/>
          <w:i/>
          <w:iCs/>
          <w:sz w:val="20"/>
          <w:szCs w:val="20"/>
          <w:lang w:eastAsia="ru-RU"/>
        </w:rPr>
        <w:t>:</w:t>
      </w:r>
      <w:r w:rsidRPr="00C8565B">
        <w:rPr>
          <w:rFonts w:ascii="Times New Roman" w:eastAsia="Times New Roman" w:hAnsi="Times New Roman" w:cs="Times New Roman"/>
          <w:sz w:val="20"/>
          <w:szCs w:val="20"/>
          <w:lang w:eastAsia="ru-RU"/>
        </w:rPr>
        <w:t xml:space="preserve">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2025 році 1 690 фізичних осіб – підприємців (ФОП), </w:t>
      </w:r>
      <w:r w:rsidRPr="00C8565B">
        <w:rPr>
          <w:rFonts w:ascii="Times New Roman" w:eastAsia="Times New Roman" w:hAnsi="Times New Roman" w:cs="Times New Roman"/>
          <w:i/>
          <w:iCs/>
          <w:sz w:val="20"/>
          <w:szCs w:val="20"/>
          <w:lang w:eastAsia="ru-RU"/>
        </w:rPr>
        <w:t>які застосовують спрощену систему оподаткування</w:t>
      </w:r>
      <w:r w:rsidRPr="00C8565B">
        <w:rPr>
          <w:rFonts w:ascii="Times New Roman" w:eastAsia="Times New Roman" w:hAnsi="Times New Roman" w:cs="Times New Roman"/>
          <w:sz w:val="20"/>
          <w:szCs w:val="20"/>
          <w:lang w:eastAsia="ru-RU"/>
        </w:rPr>
        <w:t xml:space="preserve">, задекларували позитивне значення МПЗ на загальну суму понад 119,5 млн грн, що на 41,8 млн грн, або на 53,8 відсотків, більше ніж у 2024 році; 105 ФОПів на загальній системі оподаткування задекларували позитивне значення МПЗ на загальну суму понад 6,6 млн грн, що на майже на 1,8 млн грн, або на 36,3 відсотки, більше ніж в 2024 році.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i/>
          <w:iCs/>
          <w:sz w:val="20"/>
          <w:szCs w:val="20"/>
          <w:lang w:eastAsia="ru-RU"/>
        </w:rPr>
        <w:t>* Закон України від 10 жовтня 2024 року № 4015-ІХ</w:t>
      </w:r>
      <w:r w:rsidRPr="00C8565B">
        <w:rPr>
          <w:rFonts w:ascii="Times New Roman" w:eastAsia="Times New Roman" w:hAnsi="Times New Roman" w:cs="Times New Roman"/>
          <w:sz w:val="20"/>
          <w:szCs w:val="20"/>
          <w:lang w:eastAsia="ru-RU"/>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w:t>
      </w:r>
    </w:p>
    <w:p w:rsidR="00C47724" w:rsidRPr="00C8565B" w:rsidRDefault="00C47724" w:rsidP="00C47724">
      <w:pPr>
        <w:spacing w:after="0" w:line="240" w:lineRule="auto"/>
        <w:rPr>
          <w:rFonts w:ascii="Times New Roman" w:eastAsia="Times New Roman" w:hAnsi="Times New Roman" w:cs="Times New Roman"/>
          <w:sz w:val="20"/>
          <w:szCs w:val="20"/>
          <w:lang w:eastAsia="ru-RU"/>
        </w:rPr>
      </w:pPr>
      <w:r w:rsidRPr="00C8565B">
        <w:rPr>
          <w:rFonts w:ascii="Times New Roman" w:eastAsia="Times New Roman" w:hAnsi="Times New Roman" w:cs="Times New Roman"/>
          <w:i/>
          <w:iCs/>
          <w:sz w:val="20"/>
          <w:szCs w:val="20"/>
          <w:lang w:eastAsia="ru-RU"/>
        </w:rPr>
        <w:t>** Закон України від 01 липня 2004 року № 1952-ІV</w:t>
      </w:r>
      <w:r w:rsidRPr="00C8565B">
        <w:rPr>
          <w:rFonts w:ascii="Times New Roman" w:eastAsia="Times New Roman" w:hAnsi="Times New Roman" w:cs="Times New Roman"/>
          <w:sz w:val="20"/>
          <w:szCs w:val="20"/>
          <w:lang w:eastAsia="ru-RU"/>
        </w:rPr>
        <w:t xml:space="preserve"> «Про державну реєстрацію речових прав на нерухоме майно та їх обтяжень» (із змінами). </w:t>
      </w:r>
    </w:p>
    <w:p w:rsid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Як здійснити пошук фіскального чека, створеного ПРРО?</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Інформація про фіскальний чек створений програмним реєстратором розрахункових операцій (далі – ПРРО) міститься на вебпорталі ДПС України в Реєстрі «Пошук фіскального чеку».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Пошук фіскального чека створеного ПРРО відбувається аналогічно як і чека створеного класичним реєстратором розрахункових операцій (далі – РРО). Для цього необхідно вказати в параметрах пошуку дані: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номер фіскального чека;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фіскальний номер РРО/ПРРО;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дату та час проведення операції, яка відображена в чеку. </w:t>
      </w:r>
    </w:p>
    <w:p w:rsidR="001B51FB" w:rsidRDefault="001B51FB" w:rsidP="00C47724">
      <w:pPr>
        <w:pStyle w:val="1"/>
        <w:spacing w:before="0" w:beforeAutospacing="0" w:after="0" w:afterAutospacing="0"/>
        <w:rPr>
          <w:sz w:val="20"/>
          <w:szCs w:val="20"/>
          <w:lang w:val="uk-UA"/>
        </w:rPr>
      </w:pPr>
    </w:p>
    <w:p w:rsidR="00C47724" w:rsidRPr="00C8565B" w:rsidRDefault="00C47724" w:rsidP="00C47724">
      <w:pPr>
        <w:pStyle w:val="1"/>
        <w:spacing w:before="0" w:beforeAutospacing="0" w:after="0" w:afterAutospacing="0"/>
        <w:rPr>
          <w:sz w:val="20"/>
          <w:szCs w:val="20"/>
        </w:rPr>
      </w:pPr>
      <w:r w:rsidRPr="00C8565B">
        <w:rPr>
          <w:sz w:val="20"/>
          <w:szCs w:val="20"/>
        </w:rPr>
        <w:t>238,9 млрд грн ПДФО з початку 2025 року: сплата зросла на 21,8 % порівняно з минулим роком</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Протягом січня – травня поточного року платники сплатили 238,9 млрд грн податку на доходи фізичних осіб. Порівняно з відповідним періодом минулого року сплата зросла на 21,8 % або на майже 42,7 млрд грн. За перші п’ять місяців минулого року було перераховано 196,2 млрд гривень.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Регіони – лідери за сплатою: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Київ – 56,2 млрд грн,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Дніпропетровська область – 23,7 млрд грн,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Львівська область – 16,2 млрд грн,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Київська область  – 14,1 млрд гривень.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Податок на доходи фізичних осіб складає левову частку надходжень місцевих бюджетів. Його ставка – 18 % від нарахованих доходів громадян: зарплат, премій, інших додаткових виплат та виплат за договорами цивільно-правового характеру. Тому отримуючи офіційну зарплату, з якої відраховуються податки, ви дбаєте про розвиток свого регіону та соціальну підтримку його громадян.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Нагадуємо громадянам про можливість скористатися податковою знижкою. Це право передбачено для платників податку на доходи фізичних осіб, які протягом року здійснювали витрати, що підлягають компенсації з бюджету.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Документи на отримання податкової знижки за витратами 2024 року можна подавати до 31 грудня 2025 року. </w:t>
      </w:r>
    </w:p>
    <w:p w:rsidR="00C47724" w:rsidRPr="00C8565B" w:rsidRDefault="00C47724" w:rsidP="00C47724">
      <w:pPr>
        <w:pStyle w:val="a3"/>
        <w:spacing w:before="0" w:beforeAutospacing="0" w:after="0" w:afterAutospacing="0"/>
        <w:jc w:val="both"/>
        <w:rPr>
          <w:sz w:val="20"/>
          <w:szCs w:val="20"/>
        </w:rPr>
      </w:pPr>
      <w:r w:rsidRPr="00C8565B">
        <w:rPr>
          <w:sz w:val="20"/>
          <w:szCs w:val="20"/>
        </w:rPr>
        <w:t>Як подати декларацію – детальніше за посиланням: </w:t>
      </w:r>
      <w:hyperlink r:id="rId12" w:history="1">
        <w:r w:rsidRPr="00C8565B">
          <w:rPr>
            <w:rStyle w:val="a5"/>
            <w:sz w:val="20"/>
            <w:szCs w:val="20"/>
          </w:rPr>
          <w:t>https://tax.gov.ua/media-tsentr/novini/866521.html</w:t>
        </w:r>
      </w:hyperlink>
      <w:r w:rsidRPr="00C8565B">
        <w:rPr>
          <w:sz w:val="20"/>
          <w:szCs w:val="20"/>
        </w:rPr>
        <w:t xml:space="preserve">.  </w:t>
      </w:r>
    </w:p>
    <w:p w:rsidR="00C47724" w:rsidRPr="00C8565B" w:rsidRDefault="00C47724" w:rsidP="00C47724">
      <w:pPr>
        <w:pStyle w:val="a3"/>
        <w:spacing w:before="0" w:beforeAutospacing="0" w:after="0" w:afterAutospacing="0"/>
        <w:jc w:val="both"/>
        <w:rPr>
          <w:sz w:val="20"/>
          <w:szCs w:val="20"/>
        </w:rPr>
      </w:pPr>
      <w:r w:rsidRPr="00C8565B">
        <w:rPr>
          <w:sz w:val="20"/>
          <w:szCs w:val="20"/>
        </w:rPr>
        <w:lastRenderedPageBreak/>
        <w:t>Як отримати податкову знижку: </w:t>
      </w:r>
      <w:hyperlink r:id="rId13" w:history="1">
        <w:r w:rsidRPr="00C8565B">
          <w:rPr>
            <w:rStyle w:val="a5"/>
            <w:sz w:val="20"/>
            <w:szCs w:val="20"/>
          </w:rPr>
          <w:t>https://tax.gov.ua/media-tsentr/novini/870381.html</w:t>
        </w:r>
      </w:hyperlink>
      <w:r w:rsidRPr="00C8565B">
        <w:rPr>
          <w:sz w:val="20"/>
          <w:szCs w:val="20"/>
        </w:rPr>
        <w:t xml:space="preserve">.  </w:t>
      </w:r>
    </w:p>
    <w:p w:rsidR="00C47724" w:rsidRPr="00C8565B" w:rsidRDefault="00C47724" w:rsidP="00C47724">
      <w:pPr>
        <w:spacing w:after="0" w:line="240" w:lineRule="auto"/>
        <w:rPr>
          <w:rFonts w:ascii="Times New Roman" w:hAnsi="Times New Roman" w:cs="Times New Roman"/>
          <w:b/>
          <w:sz w:val="20"/>
          <w:szCs w:val="20"/>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До уваги платників акцизного податку, які здійснюють операції з тютюновими виробами!</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з 29.05.2025 (з дня офіційного опублікування наказу Міністерства фінансів України  від 26.03.2025 № 174 «Про затвердження форм заяв про внесення відомостей про обладнання для підготовки або обробки тютюну, тютюнової сировини, промислового виробництва тютюнових виробів до Єдиного реєстру обладнання, про внесення змін до відомостей, що містяться в Єдиному реєстрі обладнання, порядку їх заповнення та форми витягу з Єдиного реєстру обладнання», зареєстрованого в Міністерстві юстиції України 18 квітня 2025 року за № 632/44038) (далі – Наказ № 174) набрали чинності: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нові форми заяв про внесення відомостей про обладнання для підготовки або обробки тютюну, тютюнової сировини, промислового виробництва тютюнових виробів до Єдиного реєстру обладнання (далі – заява про внесення відомостей про обладнання до Єдиного реєстру обладнання) та про внесення змін до відомостей, що містяться в Єдиному реєстрі обладнання;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Порядок їх заповнення;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форма витягу з Єдиного реєстру обладнання.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Подання заяв для формування Єдиного реєстру обладнання та отримання витягу з нього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Заяви про внесення відомостей про обладнання до Єдиного реєстру обладнання та про внесення змін до відомостей, що містяться в ньому, та копії документів до цих заяв, подаються власником / користувачем обладнання до ДПС у паперовій або електронній формі в порядку, визначеному статтею 42 глави 1 розділу II Податкового кодексу України (далі – ПКУ).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Заява про внесення змін до відомостей, що містяться в Єдиному реєстрі обладнання, подається власником/користувачем обладнання до ДПС протягом 10 робочих днів з дня настання події, що спричинила такі зміни.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Заява про надання витягу з Єдиного реєстру обладнання подається за потреби власником/користувачем обладнання до ДПС в паперовій або електронній формі у порядку, визначеному статтею 42 ПКУ.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Доповнення відомостями про обладнання Єдиного реєстру обладнання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 метою доповнення відомостей про обладнання, які внесено до Єдиного реєстру обладнання до 01.01.2025, відомостями, визначеними частиною п’ятою статті 38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(далі – Закон № 3817), суб'єкт господарювання зобов’язаний до 01.07.2025 подати до ДПС заяву про внесення змін до відомостей, що містяться в Єдиному реєстрі обладнання, та документи, що підтверджують наявність у них на обліку такого обладнання у порядку, визначеному Законом.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разі відсутності митних декларацій та/або договорів про набуття права власності, користування обладнанням для підготовки або обробки тютюну, тютюнової сировини, промислового виробництва тютюнових виробів у суб'єктів, що є власниками або користувачами такого обладнання, у зв'язку із спливом терміну їх зберігання або втратою внаслідок форс-мажорних обставин такі власники/користувачі обладнання можуть подати бухгалтерську довідку, інші документи, що підтверджують наявність у них на обліку такого обладнання, із зазначенням їхніх реквізитів у заяві про внесення відомостей про обладнання до Єдиного реєстру обладнання та/або про внесення змін до відомостей, що містяться у ньому.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Відповідальність за недотримання вимог реєстрації обладнання в Єдиному реєстрі обладнання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пунктів 7, 8 та 34 частини 2 статті 73 Закону № 3817 до суб'єктів господарювання застосовуються фінансові санкції у вигляді штрафів у разі: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використання та/або зберігання на митній території України обладнання для підготовки або обробки тютюну, тютюнової сировини, промислового виробництва тютюнових виробів, незареєстрованого у Єдиному реєстрі обладнання, або за адресою чи власником/користувачем, які не внесені до зазначеного реєстру, – 25 розмірів мінімальної заробітної плати, встановленої законом на 1 січня звітного (податкового) року;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відсутність обладнання для підготовки або обробки тютюну, тютюнової сировини, промислового виробництва тютюнових виробів за адресою його місцезнаходження, яка внесена до Єдиного реєстру обладнання, – 20 розмірів мінімальної заробітної плати, встановленої законом на 1 січня звітного (податкового) року;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несвоєчасне подання заяви про внесення відомостей про обладнання для підготовки або обробки тютюну, тютюнової сировини, промислового виробництва тютюнових виробів до Єдиного реєстру обладнання та/або неподання заяви про внесення змін до відомостей, що містяться в Єдиному реєстрі обладнання, у строки, передбачені статтею 38 Закону № 3817, – 16,5 розміру мінімальної заробітної плати, встановленої законом на 1 січня звітного (податкового) року.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Довідково: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Наказу № 174 втратили чинність форми заяв про реєстрацію обладнання для підготовки або обробки тютюну, тютюнової сировини, промислового виробництва тютюнових виробів в Єдиному державному реєстрі обладнання для підготовки або обробки тютюну, тютюнової сировини, промислового </w:t>
      </w:r>
      <w:r w:rsidRPr="00C8565B">
        <w:rPr>
          <w:rFonts w:ascii="Times New Roman" w:eastAsia="Times New Roman" w:hAnsi="Times New Roman" w:cs="Times New Roman"/>
          <w:sz w:val="20"/>
          <w:szCs w:val="20"/>
          <w:lang w:eastAsia="ru-RU"/>
        </w:rPr>
        <w:lastRenderedPageBreak/>
        <w:t xml:space="preserve">виробництва тютюнових виробів, про внесення змін до відомостей, про виключення відомостей, що містяться в Єдиному державному реєстрі обладнання для підготовки або обробки тютюну, тютюнової сировини, промислового виробництва тютюнових виробів, що були затверджені наказом Міністерства фінансів України від 29.02.2024 № 99. </w:t>
      </w:r>
    </w:p>
    <w:p w:rsidR="001B51FB" w:rsidRDefault="001B51FB" w:rsidP="00C47724">
      <w:pPr>
        <w:pStyle w:val="1"/>
        <w:spacing w:before="0" w:beforeAutospacing="0" w:after="0" w:afterAutospacing="0"/>
        <w:rPr>
          <w:sz w:val="20"/>
          <w:szCs w:val="20"/>
          <w:lang w:val="uk-UA"/>
        </w:rPr>
      </w:pPr>
    </w:p>
    <w:p w:rsidR="00C47724" w:rsidRPr="00C8565B" w:rsidRDefault="00C47724" w:rsidP="00C47724">
      <w:pPr>
        <w:pStyle w:val="1"/>
        <w:spacing w:before="0" w:beforeAutospacing="0" w:after="0" w:afterAutospacing="0"/>
        <w:rPr>
          <w:sz w:val="20"/>
          <w:szCs w:val="20"/>
        </w:rPr>
      </w:pPr>
      <w:r w:rsidRPr="00C8565B">
        <w:rPr>
          <w:sz w:val="20"/>
          <w:szCs w:val="20"/>
        </w:rPr>
        <w:t>Сплата податків через Електронний кабінет</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Головне управління ДПС у Дніпропетровській області повідомляє.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Потрібно сплатити податки? Зробіть це швидко, не виходячи з дому.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Платник податків (фізична особа) в особистому кабінеті може сплатити податок, скориставшись однією із запропонованих платіжних систем.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Для сплати через Електронний кабінет необхідно у меню «Стан розрахунків з бюджетом»: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обрати податок (платіж),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сканувати QR-код,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 підтвердити операцію, або обрати одну із платіжних систем,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вказати реквізити платіжної карти,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підтвердити операцію.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Платіжне доручення автоматично заповнюється на підставі облікових даних платника та відомостей щодо рахунків для зарахування платежів до бюджету.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Презентаційні матеріали щодо сплати податків платником (фізичною особою) в Електронному кабінеті можна переглянути тут: </w:t>
      </w:r>
      <w:hyperlink r:id="rId14" w:history="1">
        <w:r w:rsidRPr="00C8565B">
          <w:rPr>
            <w:rStyle w:val="a5"/>
            <w:sz w:val="20"/>
            <w:szCs w:val="20"/>
          </w:rPr>
          <w:t>https://tax.gov.ua/data/files/297224.pdf</w:t>
        </w:r>
      </w:hyperlink>
      <w:r w:rsidRPr="00C8565B">
        <w:rPr>
          <w:sz w:val="20"/>
          <w:szCs w:val="20"/>
        </w:rPr>
        <w:t xml:space="preserve">. </w:t>
      </w:r>
    </w:p>
    <w:p w:rsidR="00C47724" w:rsidRPr="00C8565B" w:rsidRDefault="00C47724" w:rsidP="00C47724">
      <w:pPr>
        <w:spacing w:after="0" w:line="240" w:lineRule="auto"/>
        <w:rPr>
          <w:rFonts w:ascii="Times New Roman" w:hAnsi="Times New Roman" w:cs="Times New Roman"/>
          <w:b/>
          <w:sz w:val="20"/>
          <w:szCs w:val="20"/>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Який порядок заповнення зведеної податкової накладної, складеної відповідно до п.199.1 ст. 199 Податкового кодексу України?</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Відповідно до п. 199.1 ст. 199 Податкового кодексу України (далі – ПКУ) у разі якщо придбані та/або виготовлені товари / послуги, необоротні активи частково використовуються в оподатковуваних операціях, а частково – ні, платник податку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в неоподатковуваних операціях.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Згідно з п. 8 Порядку заповнення податкової накладної, затвердженого наказом Міністерства фінансів України від 31.12.2015 № 1307 (із змінами), зареєстрованим в Міністерстві юстиції України 26.01.2016 за № 137/28267 (далі – Порядок № 1307), при складанні податкових накладних, особливості заповнення яких викладені в пп. 10 - 15 Порядку № 1307, у верхній лівій частині таких накладних у графі «Не підлягає наданню отримувачу (покупцю) з причини» робиться помітка «X» та зазначається відповідний тип причини, зокрема, 08 – Складена на постачання для операцій, які не є об’єктом оподаткування ПДВ; 09 – Складена на постачання для операцій, які звільнені від оподаткування ПДВ.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Пунктом 11 Порядку № 1307 визначено, що у разі нарахування податкових зобов’язань відповідно до п. 199.1 ст. 199 ПКУ платник податку складає окрему зведену податкову накладну у графі «Зведена податкова накладна» якої зазначається код ознаки «2». Така зведена податкова накладна складається не пізніше останнього дня звітного (податкового) періоду.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графі «Отримувач (покупець)» платник податку зазначає власне найменування (П. І. Б.), у рядку «Індивідуальний податковий номер отримувача (покупця)» проставляється умовний ІПН «600000000000», рядок «Податковий номер платника податку або серія (за наявності) та номер паспорта» не заповнюється.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табличній частині розділу Б такої зведеної податкової накладної зазначається: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графі 2 – дати складання та порядкові номери податкових накладних, складених на такого платника податку при постачанні йому товарів / послуг, необоротних активів, за якими він визначає податкові зобов’язання відповідно до п. 199.1 ст. 199 ПКУ (п.п. 1 п. 16 Порядку № 1307);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графі 4 – «грн» (п.п. 3 п. 16 Порядку № 1307);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графі 10 – частина вартості товару / послуги, необоротного активу, на яку нараховується податок відповідно до п. 199.1 ст. 199 ПКУ, згідно з основною ставкою податку та ставками податку 7 і 14 відсотків, які застосовуються при нарахуванні податкових зобов’язань (п.п. 8 п. 16 Порядку № 1307);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графі 11 – сума ПДВ (п.п. 9 п. 16 Порядку № 1307);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графи 3.1, 3.2.1, 3.2.2, 3.3, 5 - 9 не заповнюються (п. 16 Порядку № 1307).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розділі А табличної частини такої зведеної податкової накладної рядки I - VІІІ заповнюються у загальному порядку, при цьому рядки IX - XIІ не заповнюються. </w:t>
      </w:r>
    </w:p>
    <w:p w:rsidR="001B51FB" w:rsidRDefault="001B51FB"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 xml:space="preserve">Акцизний податок з ввезених товарів: надходження до загального фонду держбюджету від платників Дніпропетровщини зросли на 53,0 відсотки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Протягом січня – травня 2025 року платники Дніпропетровщини з ввезених товарів сплатили до загального фонду державного бюджету більше ніж 109,2 млн грн акцизного податку. Як підкреслила начальник </w:t>
      </w:r>
      <w:r w:rsidRPr="00C8565B">
        <w:rPr>
          <w:rFonts w:ascii="Times New Roman" w:eastAsia="Times New Roman" w:hAnsi="Times New Roman" w:cs="Times New Roman"/>
          <w:sz w:val="20"/>
          <w:szCs w:val="20"/>
          <w:lang w:eastAsia="ru-RU"/>
        </w:rPr>
        <w:lastRenderedPageBreak/>
        <w:t xml:space="preserve">Головного управління ДПС у Дніпропетровській області Теодозія Чернецька, надходження виросли на понад 37,8 млн грн, темп росту – 153,1 відсотки.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«Висловлюємо вдячність бізнесу за своєчасно сплачені податки та збори і важливу фінансову підтримку економіки! Разом з платниками працюємо і спрямовуємо нашу взаємодію на забезпечення стабільних надходжень до бюджетів», – зазначила очільниця податкової служби регіону.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Звертаємо увагу, що сплата акцизного податку (податок) в разі ввезення підакцизних товарів на митну територію України здійснюється наступним чином: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податок із ввезених на митну територію України підакцизних товарів (продукції) сплачується платниками податку до або в день подання митної декларації;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у разі ввезення маркованої підакцизної продукції (крім тютюнових виробів та рідин, що використовуються в електронних сигаретах) на митну територію України податок сплачується під час придбання марок акцизного податку з доплатою (за потреби) на день подання митної декларації.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У разі ввезення маркованих тютюнових виробів, рідин, що використовуються в електронних сигаретах, на митну територію України податок сплачується під час придбання марок акцизного податку з урахуванням офіційного курсу валюти України до іноземної валюти, встановленого Національним банком України (НБУ), що діяв на 0 годин першого дня календарного півріччя, що передує півріччю, в якому придбані марки акцизного податку, з доплатою (за потреби) на день подання митної декларації, яка визначається з урахуванням офіційного курсу валюти України до іноземної валюти, встановленого НБУ, що діяв на 0 годин першого дня календарного півріччя, що передує півріччю, в якому здійснюється подання митної декларації на ввезення таких тютюнових виробів, рідин, що використовуються в електронних сигаретах, на митну територію України;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платники акцизного податку при зверненні до органів внутрішніх справ України для реєстрації або перереєстрації переобладнаного вантажного транспортного засобу у легковий автомобіль зобов’язані пред’явити квитанції або платіжні доручення про сплату податку з відміткою банку про дату виконання платіжного доручення.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Довідково: п. 222.2 ст. 222 Податкового кодексу України. </w:t>
      </w:r>
    </w:p>
    <w:p w:rsidR="001B51FB" w:rsidRDefault="001B51FB" w:rsidP="00C47724">
      <w:pPr>
        <w:pStyle w:val="1"/>
        <w:spacing w:before="0" w:beforeAutospacing="0" w:after="0" w:afterAutospacing="0"/>
        <w:rPr>
          <w:sz w:val="20"/>
          <w:szCs w:val="20"/>
          <w:lang w:val="uk-UA"/>
        </w:rPr>
      </w:pPr>
    </w:p>
    <w:p w:rsidR="00C47724" w:rsidRPr="00C8565B" w:rsidRDefault="00C47724" w:rsidP="00C47724">
      <w:pPr>
        <w:pStyle w:val="1"/>
        <w:spacing w:before="0" w:beforeAutospacing="0" w:after="0" w:afterAutospacing="0"/>
        <w:rPr>
          <w:sz w:val="20"/>
          <w:szCs w:val="20"/>
        </w:rPr>
      </w:pPr>
      <w:r w:rsidRPr="00C8565B">
        <w:rPr>
          <w:sz w:val="20"/>
          <w:szCs w:val="20"/>
        </w:rPr>
        <w:t>До уваги фінансових агентів: до 1 липня необхідно подати звіт про підзвітні рахунки (CRS та FATCA)</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Фінансові агенти зобов’язані щороку до 1 липня (до 00:00 за київським часом) подавати до контролюючого органу звіт про підзвітні рахунки (CRS та FATCA). Просимо всіх своєчасно подати звітність. </w:t>
      </w:r>
    </w:p>
    <w:p w:rsidR="00C47724" w:rsidRPr="00C8565B" w:rsidRDefault="00C47724" w:rsidP="00C47724">
      <w:pPr>
        <w:pStyle w:val="a3"/>
        <w:spacing w:before="0" w:beforeAutospacing="0" w:after="0" w:afterAutospacing="0"/>
        <w:jc w:val="both"/>
        <w:rPr>
          <w:sz w:val="20"/>
          <w:szCs w:val="20"/>
        </w:rPr>
      </w:pPr>
      <w:r w:rsidRPr="00C8565B">
        <w:rPr>
          <w:sz w:val="20"/>
          <w:szCs w:val="20"/>
        </w:rPr>
        <w:t>Приклади заповнення звітів CRS доступні за посиланням: </w:t>
      </w:r>
      <w:hyperlink r:id="rId15" w:history="1">
        <w:r w:rsidRPr="00C8565B">
          <w:rPr>
            <w:rStyle w:val="a5"/>
            <w:sz w:val="20"/>
            <w:szCs w:val="20"/>
          </w:rPr>
          <w:t>https://tax.gov.ua/baneryi/crs/zapovnennya-ta-podannya-zvitiv-/prikladi-zvitiv-crs/</w:t>
        </w:r>
      </w:hyperlink>
      <w:r w:rsidRPr="00C8565B">
        <w:rPr>
          <w:sz w:val="20"/>
          <w:szCs w:val="20"/>
        </w:rPr>
        <w:t xml:space="preserve">.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Для отримання відповіді на питання щодо виконання фінансовими агентами положень Угоди FATCA та Багатосторонньої угоди CRS ви можете направити запит на спеціалізовані електронні адреси ДПС: </w:t>
      </w:r>
    </w:p>
    <w:p w:rsidR="00C47724" w:rsidRPr="00C8565B" w:rsidRDefault="00C47724" w:rsidP="00C47724">
      <w:pPr>
        <w:pStyle w:val="a3"/>
        <w:spacing w:before="0" w:beforeAutospacing="0" w:after="0" w:afterAutospacing="0"/>
        <w:jc w:val="both"/>
        <w:rPr>
          <w:sz w:val="20"/>
          <w:szCs w:val="20"/>
        </w:rPr>
      </w:pPr>
      <w:r w:rsidRPr="00C8565B">
        <w:rPr>
          <w:sz w:val="20"/>
          <w:szCs w:val="20"/>
        </w:rPr>
        <w:t>- </w:t>
      </w:r>
      <w:hyperlink r:id="rId16" w:history="1">
        <w:r w:rsidRPr="00C8565B">
          <w:rPr>
            <w:rStyle w:val="a5"/>
            <w:sz w:val="20"/>
            <w:szCs w:val="20"/>
          </w:rPr>
          <w:t>info_FATCA@tax.gov.ua</w:t>
        </w:r>
      </w:hyperlink>
      <w:r w:rsidRPr="00C8565B">
        <w:rPr>
          <w:sz w:val="20"/>
          <w:szCs w:val="20"/>
        </w:rPr>
        <w:t xml:space="preserve"> </w:t>
      </w:r>
    </w:p>
    <w:p w:rsidR="00C47724" w:rsidRPr="00C8565B" w:rsidRDefault="00C47724" w:rsidP="00C47724">
      <w:pPr>
        <w:pStyle w:val="a3"/>
        <w:spacing w:before="0" w:beforeAutospacing="0" w:after="0" w:afterAutospacing="0"/>
        <w:jc w:val="both"/>
        <w:rPr>
          <w:sz w:val="20"/>
          <w:szCs w:val="20"/>
        </w:rPr>
      </w:pPr>
      <w:r w:rsidRPr="00C8565B">
        <w:rPr>
          <w:sz w:val="20"/>
          <w:szCs w:val="20"/>
        </w:rPr>
        <w:t>- </w:t>
      </w:r>
      <w:hyperlink r:id="rId17" w:history="1">
        <w:r w:rsidRPr="00C8565B">
          <w:rPr>
            <w:rStyle w:val="a5"/>
            <w:sz w:val="20"/>
            <w:szCs w:val="20"/>
          </w:rPr>
          <w:t>crs.info@tax.gov.ua</w:t>
        </w:r>
      </w:hyperlink>
      <w:r w:rsidRPr="00C8565B">
        <w:rPr>
          <w:sz w:val="20"/>
          <w:szCs w:val="20"/>
        </w:rPr>
        <w:t xml:space="preserve">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Нагадаємо, що порядок заповнення звітів CRS та FATCA визначений: </w:t>
      </w:r>
    </w:p>
    <w:p w:rsidR="00C47724" w:rsidRPr="00C8565B" w:rsidRDefault="00C47724" w:rsidP="00C47724">
      <w:pPr>
        <w:pStyle w:val="a3"/>
        <w:spacing w:before="0" w:beforeAutospacing="0" w:after="0" w:afterAutospacing="0"/>
        <w:jc w:val="both"/>
        <w:rPr>
          <w:sz w:val="20"/>
          <w:szCs w:val="20"/>
        </w:rPr>
      </w:pPr>
      <w:r w:rsidRPr="00C8565B">
        <w:rPr>
          <w:sz w:val="20"/>
          <w:szCs w:val="20"/>
        </w:rPr>
        <w:t>- підпунктом 39</w:t>
      </w:r>
      <w:r w:rsidRPr="00C8565B">
        <w:rPr>
          <w:sz w:val="20"/>
          <w:szCs w:val="20"/>
          <w:vertAlign w:val="superscript"/>
        </w:rPr>
        <w:t>3</w:t>
      </w:r>
      <w:r w:rsidRPr="00C8565B">
        <w:rPr>
          <w:sz w:val="20"/>
          <w:szCs w:val="20"/>
        </w:rPr>
        <w:t>.4.1 пункту 39</w:t>
      </w:r>
      <w:r w:rsidRPr="00C8565B">
        <w:rPr>
          <w:sz w:val="20"/>
          <w:szCs w:val="20"/>
          <w:vertAlign w:val="superscript"/>
        </w:rPr>
        <w:t>3</w:t>
      </w:r>
      <w:r w:rsidRPr="00C8565B">
        <w:rPr>
          <w:sz w:val="20"/>
          <w:szCs w:val="20"/>
        </w:rPr>
        <w:t>.4 статті 39</w:t>
      </w:r>
      <w:r w:rsidRPr="00C8565B">
        <w:rPr>
          <w:sz w:val="20"/>
          <w:szCs w:val="20"/>
          <w:vertAlign w:val="superscript"/>
        </w:rPr>
        <w:t>3</w:t>
      </w:r>
      <w:r w:rsidRPr="00C8565B">
        <w:rPr>
          <w:sz w:val="20"/>
          <w:szCs w:val="20"/>
        </w:rPr>
        <w:t xml:space="preserve"> Податкового кодексу України;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наказом Міністерства фінансів України від 25.09.2023 № 516 «Про затвердження Порядку заповнення та подання фінансовими агентами звіту про підзвітні рахунки відповідно до багатосторонньої угоди компетентних органів про автоматичний обмін інформацією про фінансові рахунки»; </w:t>
      </w:r>
    </w:p>
    <w:p w:rsidR="00C47724" w:rsidRPr="00C8565B" w:rsidRDefault="00C47724" w:rsidP="00C47724">
      <w:pPr>
        <w:pStyle w:val="a3"/>
        <w:spacing w:before="0" w:beforeAutospacing="0" w:after="0" w:afterAutospacing="0"/>
        <w:jc w:val="both"/>
        <w:rPr>
          <w:sz w:val="20"/>
          <w:szCs w:val="20"/>
        </w:rPr>
      </w:pPr>
      <w:r w:rsidRPr="00C8565B">
        <w:rPr>
          <w:sz w:val="20"/>
          <w:szCs w:val="20"/>
        </w:rPr>
        <w:t xml:space="preserve">- наказом Міністерства фінансів України від 12.08.2020 № 496 «Про затвердження Порядку заповнення і подання фінансовими агентами звіту про підзвітні рахунки відповідно до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w:t>
      </w:r>
    </w:p>
    <w:p w:rsidR="00C47724" w:rsidRDefault="00C47724" w:rsidP="00C47724">
      <w:pPr>
        <w:spacing w:after="0" w:line="240" w:lineRule="auto"/>
        <w:outlineLvl w:val="0"/>
        <w:rPr>
          <w:rFonts w:ascii="Times New Roman" w:eastAsia="Times New Roman" w:hAnsi="Times New Roman" w:cs="Times New Roman"/>
          <w:b/>
          <w:bCs/>
          <w:kern w:val="36"/>
          <w:sz w:val="20"/>
          <w:szCs w:val="20"/>
          <w:lang w:val="uk-UA" w:eastAsia="ru-RU"/>
        </w:rPr>
      </w:pPr>
    </w:p>
    <w:p w:rsidR="00C47724" w:rsidRPr="00C8565B" w:rsidRDefault="00C47724" w:rsidP="00C47724">
      <w:pPr>
        <w:spacing w:after="0" w:line="240" w:lineRule="auto"/>
        <w:outlineLvl w:val="0"/>
        <w:rPr>
          <w:rFonts w:ascii="Times New Roman" w:eastAsia="Times New Roman" w:hAnsi="Times New Roman" w:cs="Times New Roman"/>
          <w:b/>
          <w:bCs/>
          <w:kern w:val="36"/>
          <w:sz w:val="20"/>
          <w:szCs w:val="20"/>
          <w:lang w:eastAsia="ru-RU"/>
        </w:rPr>
      </w:pPr>
      <w:r w:rsidRPr="00C8565B">
        <w:rPr>
          <w:rFonts w:ascii="Times New Roman" w:eastAsia="Times New Roman" w:hAnsi="Times New Roman" w:cs="Times New Roman"/>
          <w:b/>
          <w:bCs/>
          <w:kern w:val="36"/>
          <w:sz w:val="20"/>
          <w:szCs w:val="20"/>
          <w:lang w:eastAsia="ru-RU"/>
        </w:rPr>
        <w:t>«Дія»: популярні податкові послуги</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Запровадження Національної стратегії доходів до 2030 року (Національна стратегія) – крок у напрямі економічного зростання та інтеграції України до європейського ринку. Запровадження нових підходів до контролю та адміністрування податків дозволяє не лише збільшити надходження до бюджету, а й створити більш комфортні умови для ведення бізнесу та інвестування в Україну.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Цифровізація ключових сервісів є одним з пріоритетних завдань Національної стратегії.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Завдяки спільній роботі ДПС та Міністерства цифрової трансформації низка податкових сервісів доступна фізичним особам на порталі та у застосунку «Дія».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Податкові послуги, які можна отримати в «Дії»: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ID14 – реєстрація в Державному реєстрі фізичних осіб – платників податків (віком 14 – 18 років) під час оформлення паспорта громадянина України вперше;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єМалятко – реєстрація дитини в Державному реєстрі фізичних осіб – платників податків під час державної реєстрації народження;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 еРНКОПП (цифровий реєстраційний номер платника податків) – відображення в електронному вигляді інформації, що міститься в Картці платника податків у мобільному додатку Дія;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lastRenderedPageBreak/>
        <w:t xml:space="preserve">- Шеринг документів – відображення в електронному вигляді інформації, що міститься у цифрових документах, під час процедур реєстрації, внесення змін або отримання відомостей з Державного реєстру фізичних осіб – платників податків.  </w:t>
      </w:r>
    </w:p>
    <w:p w:rsidR="00C47724" w:rsidRPr="00C8565B" w:rsidRDefault="00C47724" w:rsidP="00C47724">
      <w:pPr>
        <w:spacing w:after="0" w:line="240" w:lineRule="auto"/>
        <w:jc w:val="both"/>
        <w:rPr>
          <w:rFonts w:ascii="Times New Roman" w:eastAsia="Times New Roman" w:hAnsi="Times New Roman" w:cs="Times New Roman"/>
          <w:sz w:val="20"/>
          <w:szCs w:val="20"/>
          <w:lang w:eastAsia="ru-RU"/>
        </w:rPr>
      </w:pPr>
      <w:r w:rsidRPr="00C8565B">
        <w:rPr>
          <w:rFonts w:ascii="Times New Roman" w:eastAsia="Times New Roman" w:hAnsi="Times New Roman" w:cs="Times New Roman"/>
          <w:sz w:val="20"/>
          <w:szCs w:val="20"/>
          <w:lang w:eastAsia="ru-RU"/>
        </w:rPr>
        <w:t xml:space="preserve">ДПС продовжує роботу над удосконаленням цифрових сервісів та посиленням довіри громадськості до податкових органів.  </w:t>
      </w:r>
    </w:p>
    <w:p w:rsidR="001B51FB" w:rsidRDefault="001B51FB" w:rsidP="000E7AC4">
      <w:pPr>
        <w:pStyle w:val="1"/>
        <w:spacing w:before="0" w:beforeAutospacing="0" w:after="0" w:afterAutospacing="0"/>
        <w:rPr>
          <w:sz w:val="20"/>
          <w:szCs w:val="20"/>
          <w:lang w:val="uk-UA"/>
        </w:rPr>
      </w:pPr>
    </w:p>
    <w:p w:rsidR="000E7AC4" w:rsidRPr="00C8565B" w:rsidRDefault="000E7AC4" w:rsidP="000E7AC4">
      <w:pPr>
        <w:pStyle w:val="1"/>
        <w:spacing w:before="0" w:beforeAutospacing="0" w:after="0" w:afterAutospacing="0"/>
        <w:rPr>
          <w:sz w:val="20"/>
          <w:szCs w:val="20"/>
        </w:rPr>
      </w:pPr>
      <w:r w:rsidRPr="00C8565B">
        <w:rPr>
          <w:sz w:val="20"/>
          <w:szCs w:val="20"/>
        </w:rPr>
        <w:t>Для включення до реєстру волонтерів необхідно подати заяву</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Головне управління ДПС у Дніпропетровській області нагадує, що включення/виключення волонтерів АТО та/або здійснення заходів із забезпечення національної безпеки і оборони до/з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Реєстр), затвердженого наказом Міністерства фінансів України від 30.10.2014  № 1089 (зі змінами) (зареєстровано в Міністерстві юстиції України 19 листопада 2014 р. за № 1471/26248) відбувається за заявницьким принципом на підставі Заяви про включення/внесення змін до Реєстру волонтерів АТО та/або здійснення заходів із забезпечення НБО / Заяви про виключення з Реєстру волонтерів АТО та/або здійснення заходів із забезпечення НБО, що подається у електронній або паперовій формі фізичними особами – благодійниками до контролюючих органів.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Нагадуємо, що можливість подавати до контролюючих органів заяви в електронній формі створена ДПС з 20.01.2023 відповідно до законодавчих вимог.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Скористатись зазначеним сервісом зможуть особи, які ідентифіковані за особистим ключем, виданим будь-яким кваліфікованим надавачем електронних довірчих послуг.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Для заповнення та подання заяви після ідентифікації та входу до приватної частини Електронного кабінету необхідно перейти у режим ЕК «Для громадян» підрежим «Заява до Реєстру волонтерів/Створити» або пройти за маршрутом «Додатково / Введення звітності / Створити» та обрати форму з кодом f1308302.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Після заповнення заяви здійснити перевірку, зберегти, підписати і відправити.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Для подання заяви в електронній формі через Електронний кабінет натисніть тут: </w:t>
      </w:r>
      <w:hyperlink r:id="rId18" w:history="1">
        <w:r w:rsidRPr="00C8565B">
          <w:rPr>
            <w:rStyle w:val="a5"/>
            <w:sz w:val="20"/>
            <w:szCs w:val="20"/>
          </w:rPr>
          <w:t>https://cabinet.tax.gov.ua/login</w:t>
        </w:r>
      </w:hyperlink>
      <w:r w:rsidRPr="00C8565B">
        <w:rPr>
          <w:sz w:val="20"/>
          <w:szCs w:val="20"/>
        </w:rPr>
        <w:t xml:space="preserve">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Електронна форма заяви (f1308302) для розробників програмного забезпечення розміщена за посиланням: </w:t>
      </w:r>
    </w:p>
    <w:p w:rsidR="000E7AC4" w:rsidRPr="00C8565B" w:rsidRDefault="00494669" w:rsidP="000E7AC4">
      <w:pPr>
        <w:pStyle w:val="a3"/>
        <w:spacing w:before="0" w:beforeAutospacing="0" w:after="0" w:afterAutospacing="0"/>
        <w:jc w:val="both"/>
        <w:rPr>
          <w:sz w:val="20"/>
          <w:szCs w:val="20"/>
        </w:rPr>
      </w:pPr>
      <w:hyperlink r:id="rId19" w:history="1">
        <w:r w:rsidR="000E7AC4" w:rsidRPr="00C8565B">
          <w:rPr>
            <w:rStyle w:val="a5"/>
            <w:sz w:val="20"/>
            <w:szCs w:val="20"/>
          </w:rPr>
          <w:t>https://tax.gov.ua/data/material/000/006/58768/Forms_servis_fiz.htm</w:t>
        </w:r>
      </w:hyperlink>
      <w:r w:rsidR="000E7AC4" w:rsidRPr="00C8565B">
        <w:rPr>
          <w:sz w:val="20"/>
          <w:szCs w:val="20"/>
        </w:rPr>
        <w:t xml:space="preserve"> </w:t>
      </w:r>
    </w:p>
    <w:p w:rsidR="000E7AC4" w:rsidRPr="00C8565B" w:rsidRDefault="000E7AC4" w:rsidP="000E7AC4">
      <w:pPr>
        <w:pStyle w:val="a3"/>
        <w:spacing w:before="0" w:beforeAutospacing="0" w:after="0" w:afterAutospacing="0"/>
        <w:jc w:val="both"/>
        <w:rPr>
          <w:sz w:val="20"/>
          <w:szCs w:val="20"/>
        </w:rPr>
      </w:pPr>
      <w:r w:rsidRPr="00C8565B">
        <w:rPr>
          <w:sz w:val="20"/>
          <w:szCs w:val="20"/>
        </w:rPr>
        <w:t xml:space="preserve">Додатково інформуємо, що отримати роз’яснення щодо подання заяви та форму заяви можна тут: </w:t>
      </w:r>
      <w:hyperlink r:id="rId20" w:history="1">
        <w:r w:rsidRPr="00C8565B">
          <w:rPr>
            <w:rStyle w:val="a5"/>
            <w:sz w:val="20"/>
            <w:szCs w:val="20"/>
          </w:rPr>
          <w:t>https://tax.gov.ua/baneryi/dlya-volonteriv/zayava-pro-vklyuchennya-do-reestru/</w:t>
        </w:r>
      </w:hyperlink>
      <w:r w:rsidRPr="00C8565B">
        <w:rPr>
          <w:sz w:val="20"/>
          <w:szCs w:val="20"/>
        </w:rPr>
        <w:t xml:space="preserve"> </w:t>
      </w:r>
    </w:p>
    <w:p w:rsidR="00C47724" w:rsidRDefault="00C47724">
      <w:pPr>
        <w:rPr>
          <w:lang w:val="uk-UA"/>
        </w:rPr>
      </w:pPr>
    </w:p>
    <w:p w:rsidR="000E7AC4" w:rsidRPr="000E7AC4" w:rsidRDefault="000E7AC4">
      <w:pPr>
        <w:rPr>
          <w:lang w:val="uk-UA"/>
        </w:rPr>
      </w:pPr>
    </w:p>
    <w:sectPr w:rsidR="000E7AC4" w:rsidRPr="000E7AC4" w:rsidSect="006D0C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715710"/>
    <w:multiLevelType w:val="multilevel"/>
    <w:tmpl w:val="771E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efaultTabStop w:val="708"/>
  <w:characterSpacingControl w:val="doNotCompress"/>
  <w:compat/>
  <w:rsids>
    <w:rsidRoot w:val="008D3F5D"/>
    <w:rsid w:val="000E7AC4"/>
    <w:rsid w:val="001B51FB"/>
    <w:rsid w:val="00494669"/>
    <w:rsid w:val="006D0C7C"/>
    <w:rsid w:val="008412F2"/>
    <w:rsid w:val="008D3F5D"/>
    <w:rsid w:val="00A96BA6"/>
    <w:rsid w:val="00C477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724"/>
  </w:style>
  <w:style w:type="paragraph" w:styleId="1">
    <w:name w:val="heading 1"/>
    <w:basedOn w:val="a"/>
    <w:link w:val="10"/>
    <w:uiPriority w:val="9"/>
    <w:qFormat/>
    <w:rsid w:val="00C477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7724"/>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C477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C47724"/>
    <w:rPr>
      <w:color w:val="0000FF" w:themeColor="hyperlink"/>
      <w:u w:val="single"/>
    </w:rPr>
  </w:style>
  <w:style w:type="character" w:styleId="a6">
    <w:name w:val="Emphasis"/>
    <w:basedOn w:val="a0"/>
    <w:uiPriority w:val="20"/>
    <w:qFormat/>
    <w:rsid w:val="000E7AC4"/>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uiPriority w:val="99"/>
    <w:locked/>
    <w:rsid w:val="001B51FB"/>
    <w:rPr>
      <w:rFonts w:ascii="Times New Roman" w:eastAsia="Times New Roman" w:hAnsi="Times New Roman" w:cs="Times New Roman"/>
      <w:sz w:val="24"/>
      <w:szCs w:val="24"/>
      <w:lang w:eastAsia="ru-RU"/>
    </w:rPr>
  </w:style>
  <w:style w:type="character" w:styleId="a7">
    <w:name w:val="Strong"/>
    <w:uiPriority w:val="22"/>
    <w:qFormat/>
    <w:rsid w:val="001B51F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binet.tax.gov.ua" TargetMode="External"/><Relationship Id="rId13" Type="http://schemas.openxmlformats.org/officeDocument/2006/relationships/hyperlink" Target="https://tax.gov.ua/media-tsentr/novini/870381.html" TargetMode="External"/><Relationship Id="rId18" Type="http://schemas.openxmlformats.org/officeDocument/2006/relationships/hyperlink" Target="https://cabinet.tax.gov.ua/logi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idd@tax.gov.ua" TargetMode="External"/><Relationship Id="rId12" Type="http://schemas.openxmlformats.org/officeDocument/2006/relationships/hyperlink" Target="https://tax.gov.ua/media-tsentr/novini/866521.html" TargetMode="External"/><Relationship Id="rId17" Type="http://schemas.openxmlformats.org/officeDocument/2006/relationships/hyperlink" Target="mailto:crs.info@tax.gov.ua" TargetMode="External"/><Relationship Id="rId2" Type="http://schemas.openxmlformats.org/officeDocument/2006/relationships/numbering" Target="numbering.xml"/><Relationship Id="rId16" Type="http://schemas.openxmlformats.org/officeDocument/2006/relationships/hyperlink" Target="mailto:info_FATCA@tax.gov.ua" TargetMode="External"/><Relationship Id="rId20" Type="http://schemas.openxmlformats.org/officeDocument/2006/relationships/hyperlink" Target="https://tax.gov.ua/baneryi/dlya-volonteriv/zayava-pro-vklyuchennya-do-reestru/" TargetMode="External"/><Relationship Id="rId1" Type="http://schemas.openxmlformats.org/officeDocument/2006/relationships/customXml" Target="../customXml/item1.xml"/><Relationship Id="rId6" Type="http://schemas.openxmlformats.org/officeDocument/2006/relationships/hyperlink" Target="tel:0800501007" TargetMode="External"/><Relationship Id="rId11" Type="http://schemas.openxmlformats.org/officeDocument/2006/relationships/hyperlink" Target="https://tax.gov.ua/mobilniy-zastosunok-moya-podatkova/prezentatsiyni-materiali/879290.html" TargetMode="External"/><Relationship Id="rId5" Type="http://schemas.openxmlformats.org/officeDocument/2006/relationships/webSettings" Target="webSettings.xml"/><Relationship Id="rId15" Type="http://schemas.openxmlformats.org/officeDocument/2006/relationships/hyperlink" Target="https://tax.gov.ua/baneryi/crs/zapovnennya-ta-podannya-zvitiv-/prikladi-zvitiv-crs/" TargetMode="External"/><Relationship Id="rId10" Type="http://schemas.openxmlformats.org/officeDocument/2006/relationships/hyperlink" Target="https://play.google.com/store/apps/details?id=my.tax.gov.ua" TargetMode="External"/><Relationship Id="rId19" Type="http://schemas.openxmlformats.org/officeDocument/2006/relationships/hyperlink" Target="https://tax.gov.ua/data/material/000/006/58768/Forms_servis_fiz.htm" TargetMode="External"/><Relationship Id="rId4" Type="http://schemas.openxmlformats.org/officeDocument/2006/relationships/settings" Target="settings.xml"/><Relationship Id="rId9" Type="http://schemas.openxmlformats.org/officeDocument/2006/relationships/hyperlink" Target="https://apps.apple.com/ua/app/%D0%BC%D0%BE%D1%8F-%D0%BF%D0%BE%D0%B4%D0%B0%D1%82%D0%BA%D0%BE%D0%B2%D0%B0/id6450752527?l=uk" TargetMode="External"/><Relationship Id="rId14" Type="http://schemas.openxmlformats.org/officeDocument/2006/relationships/hyperlink" Target="https://tax.gov.ua/data/files/297224.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4704D-822A-4F0A-B000-1B4AD4985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11625</Words>
  <Characters>66266</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2025-06-25T06:38:00Z</dcterms:created>
  <dcterms:modified xsi:type="dcterms:W3CDTF">2025-06-27T12:47:00Z</dcterms:modified>
</cp:coreProperties>
</file>